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7.jpeg" ContentType="image/jpeg"/>
  <Override PartName="/word/media/image2.png" ContentType="image/png"/>
  <Override PartName="/word/media/image4.jpeg" ContentType="image/jpeg"/>
  <Override PartName="/word/media/image3.jpeg" ContentType="image/jpeg"/>
  <Override PartName="/word/media/image5.png" ContentType="image/png"/>
  <Override PartName="/word/media/image6.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png" ContentType="image/png"/>
  <Override PartName="/word/media/image14.jpeg" ContentType="image/jpeg"/>
  <Override PartName="/word/media/image15.png" ContentType="image/png"/>
  <Override PartName="/word/media/image16.png" ContentType="image/png"/>
  <Override PartName="/word/media/image17.wmf" ContentType="image/x-wmf"/>
  <Override PartName="/word/media/image18.jpeg" ContentType="image/jpeg"/>
  <Override PartName="/word/media/image19.png" ContentType="image/png"/>
  <Override PartName="/word/media/image20.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0"/>
        <w:jc w:val="right"/>
        <w:rPr>
          <w:rFonts w:cs="Arimo"/>
          <w:b/>
          <w:b/>
          <w:iCs/>
          <w:sz w:val="20"/>
          <w:szCs w:val="20"/>
        </w:rPr>
      </w:pPr>
      <w:r>
        <w:rPr/>
      </w:r>
    </w:p>
    <w:p>
      <w:pPr>
        <w:pStyle w:val="Normal"/>
        <w:spacing w:lineRule="auto" w:line="240" w:before="0" w:after="0"/>
        <w:jc w:val="right"/>
        <w:rPr>
          <w:rFonts w:cs="Arimo"/>
          <w:b/>
          <w:b/>
          <w:iCs/>
          <w:sz w:val="20"/>
          <w:szCs w:val="20"/>
        </w:rPr>
      </w:pPr>
      <w:r>
        <w:rPr/>
        <w:drawing>
          <wp:anchor behindDoc="0" distT="0" distB="0" distL="0" distR="0" simplePos="0" locked="0" layoutInCell="0" allowOverlap="1" relativeHeight="21">
            <wp:simplePos x="0" y="0"/>
            <wp:positionH relativeFrom="column">
              <wp:posOffset>9525</wp:posOffset>
            </wp:positionH>
            <wp:positionV relativeFrom="paragraph">
              <wp:posOffset>-389255</wp:posOffset>
            </wp:positionV>
            <wp:extent cx="5904230" cy="603885"/>
            <wp:effectExtent l="0" t="0" r="0" b="0"/>
            <wp:wrapSquare wrapText="largest"/>
            <wp:docPr id="1" name="Imagen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20" descr=""/>
                    <pic:cNvPicPr>
                      <a:picLocks noChangeAspect="1" noChangeArrowheads="1"/>
                    </pic:cNvPicPr>
                  </pic:nvPicPr>
                  <pic:blipFill>
                    <a:blip r:embed="rId2"/>
                    <a:stretch>
                      <a:fillRect/>
                    </a:stretch>
                  </pic:blipFill>
                  <pic:spPr bwMode="auto">
                    <a:xfrm>
                      <a:off x="0" y="0"/>
                      <a:ext cx="5904230" cy="603885"/>
                    </a:xfrm>
                    <a:prstGeom prst="rect">
                      <a:avLst/>
                    </a:prstGeom>
                  </pic:spPr>
                </pic:pic>
              </a:graphicData>
            </a:graphic>
          </wp:anchor>
        </w:drawing>
      </w:r>
    </w:p>
    <w:p>
      <w:pPr>
        <w:pStyle w:val="Normal"/>
        <w:spacing w:lineRule="auto" w:line="240" w:before="0" w:after="0"/>
        <w:ind w:left="708" w:hanging="708"/>
        <w:jc w:val="both"/>
        <w:rPr/>
      </w:pPr>
      <w:r>
        <w:rPr/>
      </w:r>
    </w:p>
    <w:p>
      <w:pPr>
        <w:pStyle w:val="Normal"/>
        <w:spacing w:lineRule="auto" w:line="240" w:before="0" w:after="0"/>
        <w:jc w:val="left"/>
        <w:rPr>
          <w:b/>
          <w:b/>
          <w:bCs/>
          <w:color w:val="168253"/>
        </w:rPr>
      </w:pPr>
      <w:r>
        <w:rPr>
          <w:b/>
          <w:bCs/>
          <w:color w:val="168253"/>
        </w:rPr>
        <w:t xml:space="preserve">Nota (borrar para presentar): Alegaciones </w:t>
      </w:r>
      <w:r>
        <w:rPr>
          <w:b/>
          <w:bCs/>
          <w:color w:val="168253"/>
        </w:rPr>
        <w:t xml:space="preserve">realizadas por </w:t>
      </w:r>
      <w:r>
        <w:rPr>
          <w:b/>
          <w:bCs/>
          <w:color w:val="168253"/>
        </w:rPr>
        <w:t xml:space="preserve">el Movimiento ciudadano Teruel Existe a los proyectos </w:t>
      </w:r>
      <w:r>
        <w:rPr>
          <w:rFonts w:eastAsia="Calibri" w:cs=""/>
          <w:b/>
          <w:bCs/>
          <w:color w:val="168253"/>
          <w:kern w:val="0"/>
          <w:sz w:val="22"/>
          <w:szCs w:val="22"/>
          <w:lang w:val="es-ES" w:eastAsia="en-US" w:bidi="ar-SA"/>
        </w:rPr>
        <w:t>del Cluster del Maestrazgo</w:t>
      </w:r>
      <w:r>
        <w:rPr>
          <w:b/>
          <w:bCs/>
          <w:color w:val="168253"/>
        </w:rPr>
        <w:t>, que cede a los colectivos, entidades, ayuntamientos y turolenses que quieran presentarlas para defender estos territorios.</w:t>
      </w:r>
    </w:p>
    <w:p>
      <w:pPr>
        <w:pStyle w:val="Normal"/>
        <w:spacing w:lineRule="auto" w:line="240" w:before="0" w:after="0"/>
        <w:jc w:val="left"/>
        <w:rPr>
          <w:b/>
          <w:b/>
          <w:bCs/>
          <w:color w:val="168253"/>
        </w:rPr>
      </w:pPr>
      <w:r>
        <w:rPr>
          <w:b/>
          <w:bCs/>
          <w:color w:val="168253"/>
        </w:rPr>
      </w:r>
    </w:p>
    <w:p>
      <w:pPr>
        <w:pStyle w:val="Normal"/>
        <w:spacing w:lineRule="auto" w:line="240" w:before="0" w:after="0"/>
        <w:ind w:left="708" w:hanging="708"/>
        <w:jc w:val="left"/>
        <w:rPr/>
      </w:pPr>
      <w:r>
        <w:rPr>
          <w:b w:val="false"/>
          <w:bCs w:val="false"/>
          <w:color w:val="168253"/>
        </w:rPr>
        <w:tab/>
      </w:r>
    </w:p>
    <w:p>
      <w:pPr>
        <w:pStyle w:val="Normal"/>
        <w:bidi w:val="0"/>
        <w:jc w:val="left"/>
        <w:rPr>
          <w:color w:val="158466"/>
        </w:rPr>
      </w:pPr>
      <w:r>
        <w:rPr>
          <w:b/>
          <w:bCs/>
          <w:color w:val="158466"/>
        </w:rPr>
        <w:t xml:space="preserve">CÓMO PRESENTAR. borrar la cabecera y la nota informativa previa (en verde), y  rellenar con tus datos </w:t>
      </w:r>
    </w:p>
    <w:p>
      <w:pPr>
        <w:pStyle w:val="Normal"/>
        <w:bidi w:val="0"/>
        <w:jc w:val="left"/>
        <w:rPr>
          <w:color w:val="158466"/>
        </w:rPr>
      </w:pPr>
      <w:r>
        <w:rPr>
          <w:b/>
          <w:bCs/>
          <w:color w:val="158466"/>
        </w:rPr>
        <w:t xml:space="preserve">Fecha límite </w:t>
      </w:r>
      <w:r>
        <w:rPr>
          <w:b/>
          <w:bCs/>
          <w:color w:val="158466"/>
        </w:rPr>
        <w:t>28</w:t>
      </w:r>
      <w:r>
        <w:rPr>
          <w:b/>
          <w:bCs/>
          <w:color w:val="158466"/>
        </w:rPr>
        <w:t xml:space="preserve"> de octubre (incluido, </w:t>
      </w:r>
      <w:r>
        <w:rPr>
          <w:b/>
          <w:bCs/>
          <w:color w:val="158466"/>
        </w:rPr>
        <w:t>a las 24 horas</w:t>
      </w:r>
      <w:r>
        <w:rPr>
          <w:b/>
          <w:bCs/>
          <w:color w:val="158466"/>
        </w:rPr>
        <w:t xml:space="preserve">) dirigido </w:t>
      </w:r>
      <w:r>
        <w:rPr>
          <w:rFonts w:eastAsia="NSimSun" w:cs="Arial" w:ascii="Liberation Serif;Times New Roman" w:hAnsi="Liberation Serif;Times New Roman"/>
          <w:b/>
          <w:bCs/>
          <w:color w:val="158466"/>
          <w:kern w:val="2"/>
          <w:sz w:val="24"/>
          <w:szCs w:val="24"/>
          <w:lang w:val="es-ES" w:eastAsia="zh-CN" w:bidi="hi-IN"/>
        </w:rPr>
        <w:t>a la</w:t>
      </w:r>
      <w:r>
        <w:rPr>
          <w:b/>
          <w:bCs/>
          <w:color w:val="158466"/>
        </w:rPr>
        <w:t xml:space="preserve"> subdelegación de</w:t>
      </w:r>
      <w:r>
        <w:rPr>
          <w:b/>
          <w:bCs/>
          <w:color w:val="158466"/>
        </w:rPr>
        <w:t>l Gobierno de</w:t>
      </w:r>
      <w:r>
        <w:rPr>
          <w:b/>
          <w:bCs/>
          <w:color w:val="158466"/>
        </w:rPr>
        <w:t xml:space="preserve"> Teruel:</w:t>
      </w:r>
      <w:r>
        <w:rPr>
          <w:color w:val="158466"/>
        </w:rPr>
        <w:t xml:space="preserve"> </w:t>
      </w:r>
    </w:p>
    <w:p>
      <w:pPr>
        <w:pStyle w:val="Normal"/>
        <w:bidi w:val="0"/>
        <w:jc w:val="left"/>
        <w:rPr>
          <w:color w:val="158466"/>
        </w:rPr>
      </w:pPr>
      <w:r>
        <w:rPr>
          <w:b w:val="false"/>
          <w:bCs w:val="false"/>
          <w:color w:val="158466"/>
        </w:rPr>
        <w:t xml:space="preserve">- Presentar con CERTIFICADO DIGITAL a través del registro electrónico de la Administración General del Estado, DIRIGIDO A LA SUBDELEGACIÓN DE GOBIERNO DE </w:t>
      </w:r>
      <w:r>
        <w:rPr>
          <w:rFonts w:eastAsia="NSimSun" w:cs="Arial" w:ascii="Liberation Serif;Times New Roman" w:hAnsi="Liberation Serif;Times New Roman"/>
          <w:b w:val="false"/>
          <w:bCs w:val="false"/>
          <w:color w:val="158466"/>
          <w:kern w:val="2"/>
          <w:sz w:val="24"/>
          <w:szCs w:val="24"/>
          <w:lang w:val="es-ES" w:eastAsia="zh-CN" w:bidi="hi-IN"/>
        </w:rPr>
        <w:t xml:space="preserve">TERUEL </w:t>
      </w:r>
      <w:r>
        <w:rPr>
          <w:rFonts w:eastAsia="NSimSun" w:cs="Arial" w:ascii="Liberation Serif;Times New Roman" w:hAnsi="Liberation Serif;Times New Roman"/>
          <w:b/>
          <w:bCs/>
          <w:color w:val="158466"/>
          <w:kern w:val="2"/>
          <w:sz w:val="24"/>
          <w:szCs w:val="24"/>
          <w:lang w:val="es-ES" w:eastAsia="zh-CN" w:bidi="hi-IN"/>
        </w:rPr>
        <w:t>Área de Energía</w:t>
      </w:r>
      <w:r>
        <w:rPr>
          <w:b w:val="false"/>
          <w:bCs w:val="false"/>
          <w:color w:val="158466"/>
        </w:rPr>
        <w:t xml:space="preserve"> en esta dirección electrónica,  https://rec.redsara.es </w:t>
      </w:r>
    </w:p>
    <w:p>
      <w:pPr>
        <w:pStyle w:val="Normal"/>
        <w:bidi w:val="0"/>
        <w:jc w:val="left"/>
        <w:rPr>
          <w:color w:val="158466"/>
        </w:rPr>
      </w:pPr>
      <w:r>
        <w:rPr>
          <w:color w:val="158466"/>
        </w:rPr>
        <w:t xml:space="preserve">- También puede presentarlo impreso o en soporte electrónico (pendrive) </w:t>
      </w:r>
      <w:r>
        <w:rPr>
          <w:b w:val="false"/>
          <w:bCs w:val="false"/>
          <w:color w:val="158466"/>
        </w:rPr>
        <w:t>DIRIGIDO A</w:t>
      </w:r>
      <w:r>
        <w:rPr>
          <w:b w:val="false"/>
          <w:bCs w:val="false"/>
          <w:color w:val="158466"/>
        </w:rPr>
        <w:t>L</w:t>
      </w:r>
      <w:r>
        <w:rPr>
          <w:b w:val="false"/>
          <w:bCs w:val="false"/>
          <w:color w:val="158466"/>
        </w:rPr>
        <w:t xml:space="preserve"> </w:t>
      </w:r>
      <w:r>
        <w:rPr>
          <w:rFonts w:cs="Arimo"/>
          <w:b/>
          <w:bCs w:val="false"/>
          <w:iCs/>
          <w:color w:val="158466"/>
          <w:sz w:val="20"/>
          <w:szCs w:val="20"/>
        </w:rPr>
        <w:t>Área de Industria y Energía de la Subdelegación del Gobierno en Teruel</w:t>
      </w:r>
      <w:r>
        <w:rPr>
          <w:rFonts w:eastAsia="NSimSun" w:cs="Arial" w:ascii="Liberation Serif;Times New Roman" w:hAnsi="Liberation Serif;Times New Roman"/>
          <w:b w:val="false"/>
          <w:bCs w:val="false"/>
          <w:color w:val="158466"/>
          <w:kern w:val="2"/>
          <w:sz w:val="24"/>
          <w:szCs w:val="24"/>
          <w:lang w:val="es-ES" w:eastAsia="zh-CN" w:bidi="hi-IN"/>
        </w:rPr>
        <w:t xml:space="preserve"> </w:t>
      </w:r>
      <w:r>
        <w:rPr>
          <w:color w:val="158466"/>
        </w:rPr>
        <w:t xml:space="preserve">en el Registro General de la Subdelegación del Gobierno, o en cualquier </w:t>
      </w:r>
      <w:r>
        <w:rPr>
          <w:rFonts w:eastAsia="NSimSun" w:cs="Arial" w:ascii="Liberation Serif;Times New Roman" w:hAnsi="Liberation Serif;Times New Roman"/>
          <w:color w:val="158466"/>
          <w:kern w:val="2"/>
          <w:sz w:val="24"/>
          <w:szCs w:val="24"/>
          <w:lang w:val="es-ES" w:eastAsia="zh-CN" w:bidi="hi-IN"/>
        </w:rPr>
        <w:t>dependencia</w:t>
      </w:r>
      <w:r>
        <w:rPr>
          <w:color w:val="158466"/>
        </w:rPr>
        <w:t xml:space="preserve"> general del Estado. </w:t>
      </w:r>
    </w:p>
    <w:p>
      <w:pPr>
        <w:pStyle w:val="Normal"/>
        <w:rPr>
          <w:color w:val="168253"/>
        </w:rPr>
      </w:pPr>
      <w:r>
        <w:rPr>
          <w:color w:val="168253"/>
        </w:rPr>
        <w:t xml:space="preserve">Si necesitas ayuda o más información no dudes en pedirla escribiendo a energiaymedioambiente@teruelexiste.info, ya sabes que </w:t>
      </w:r>
      <w:r>
        <w:rPr>
          <w:b/>
          <w:bCs/>
          <w:color w:val="168253"/>
        </w:rPr>
        <w:t>el Movimiento ciudadano Teruel Existe está a disposición de todos los turolenses desde hace 2</w:t>
      </w:r>
      <w:r>
        <w:rPr>
          <w:b/>
          <w:bCs/>
          <w:color w:val="168253"/>
        </w:rPr>
        <w:t>3</w:t>
      </w:r>
      <w:r>
        <w:rPr>
          <w:b/>
          <w:bCs/>
          <w:color w:val="168253"/>
        </w:rPr>
        <w:t xml:space="preserve"> años</w:t>
      </w:r>
    </w:p>
    <w:p>
      <w:pPr>
        <w:pStyle w:val="Normal"/>
        <w:spacing w:lineRule="auto" w:line="240" w:before="0" w:after="0"/>
        <w:ind w:left="708" w:hanging="708"/>
        <w:jc w:val="left"/>
        <w:rPr/>
      </w:pPr>
      <w:r>
        <w:rPr>
          <w:b w:val="false"/>
          <w:bCs w:val="false"/>
          <w:color w:val="168253"/>
        </w:rPr>
        <w:t>Saludos y mucho ánimo que</w:t>
      </w:r>
      <w:r>
        <w:rPr>
          <w:b/>
          <w:bCs/>
          <w:color w:val="168253"/>
        </w:rPr>
        <w:t xml:space="preserve"> esta invasión la pararemos juntos</w:t>
      </w:r>
    </w:p>
    <w:p>
      <w:pPr>
        <w:pStyle w:val="Normal"/>
        <w:spacing w:lineRule="auto" w:line="240" w:before="0" w:after="0"/>
        <w:ind w:left="708" w:hanging="708"/>
        <w:jc w:val="left"/>
        <w:rPr>
          <w:b w:val="false"/>
          <w:b w:val="false"/>
          <w:bCs w:val="false"/>
          <w:color w:val="168253"/>
        </w:rPr>
      </w:pPr>
      <w:r>
        <w:rPr>
          <w:b w:val="false"/>
          <w:bCs w:val="false"/>
          <w:color w:val="168253"/>
        </w:rPr>
      </w:r>
    </w:p>
    <w:p>
      <w:pPr>
        <w:pStyle w:val="Normal"/>
        <w:spacing w:lineRule="auto" w:line="240" w:before="0" w:after="0"/>
        <w:ind w:left="708" w:hanging="708"/>
        <w:jc w:val="left"/>
        <w:rPr>
          <w:b/>
          <w:b/>
          <w:bCs/>
          <w:color w:val="168253"/>
        </w:rPr>
      </w:pPr>
      <w:r>
        <w:rPr>
          <w:rFonts w:cs="Arimo"/>
          <w:b/>
          <w:bCs/>
          <w:iCs/>
          <w:color w:val="168253"/>
          <w:sz w:val="20"/>
          <w:szCs w:val="20"/>
        </w:rPr>
        <w:t>--------------------------------  A</w:t>
      </w:r>
      <w:r>
        <w:rPr>
          <w:rFonts w:eastAsia="Calibri" w:cs=""/>
          <w:b/>
          <w:bCs/>
          <w:iCs/>
          <w:color w:val="168253"/>
          <w:kern w:val="0"/>
          <w:sz w:val="22"/>
          <w:szCs w:val="22"/>
          <w:lang w:val="es-ES" w:eastAsia="en-US" w:bidi="ar-SA"/>
        </w:rPr>
        <w:t>TENCIÓN</w:t>
      </w:r>
      <w:r>
        <w:rPr>
          <w:rFonts w:cs="Arimo"/>
          <w:b/>
          <w:bCs/>
          <w:iCs/>
          <w:color w:val="168253"/>
          <w:sz w:val="20"/>
          <w:szCs w:val="20"/>
        </w:rPr>
        <w:t>:  BORRAR todo lo anterior y rellenar con tus datos ---------------</w:t>
      </w:r>
    </w:p>
    <w:p>
      <w:pPr>
        <w:pStyle w:val="Normal"/>
        <w:spacing w:lineRule="auto" w:line="240" w:before="0" w:after="0"/>
        <w:jc w:val="right"/>
        <w:rPr>
          <w:rFonts w:cs="Arimo"/>
          <w:b/>
          <w:b/>
          <w:iCs/>
          <w:sz w:val="20"/>
          <w:szCs w:val="20"/>
        </w:rPr>
      </w:pPr>
      <w:r>
        <w:rPr/>
      </w:r>
    </w:p>
    <w:p>
      <w:pPr>
        <w:pStyle w:val="Normal"/>
        <w:spacing w:lineRule="auto" w:line="240" w:before="0" w:after="0"/>
        <w:jc w:val="right"/>
        <w:rPr>
          <w:rFonts w:cs="Arimo"/>
          <w:b/>
          <w:b/>
          <w:iCs/>
          <w:sz w:val="20"/>
          <w:szCs w:val="20"/>
        </w:rPr>
      </w:pPr>
      <w:r>
        <w:rPr>
          <w:rFonts w:cs="Arimo"/>
          <w:b/>
          <w:iCs/>
          <w:sz w:val="20"/>
          <w:szCs w:val="20"/>
        </w:rPr>
        <w:t>Dependencia del Área de Industria y Energía de la Subdelegación del Gobierno en Teruel</w:t>
      </w:r>
    </w:p>
    <w:p>
      <w:pPr>
        <w:pStyle w:val="Normal"/>
        <w:spacing w:lineRule="auto" w:line="240" w:before="0" w:after="0"/>
        <w:jc w:val="both"/>
        <w:rPr>
          <w:rStyle w:val="Markedcontent"/>
          <w:rFonts w:cs="Arial"/>
          <w:b/>
          <w:b/>
          <w:sz w:val="20"/>
          <w:szCs w:val="20"/>
        </w:rPr>
      </w:pPr>
      <w:r>
        <w:rPr>
          <w:rFonts w:cs="Arial"/>
          <w:b/>
          <w:sz w:val="20"/>
          <w:szCs w:val="20"/>
        </w:rPr>
      </w:r>
    </w:p>
    <w:p>
      <w:pPr>
        <w:pStyle w:val="Normal"/>
        <w:spacing w:lineRule="auto" w:line="240" w:before="0" w:after="0"/>
        <w:jc w:val="both"/>
        <w:rPr>
          <w:rFonts w:cs="Arial"/>
          <w:b/>
          <w:b/>
          <w:sz w:val="20"/>
          <w:szCs w:val="20"/>
        </w:rPr>
      </w:pPr>
      <w:r>
        <w:rPr>
          <w:rFonts w:cs="Arial"/>
          <w:b/>
          <w:sz w:val="20"/>
          <w:szCs w:val="20"/>
        </w:rPr>
        <w:t>Alegaciones que formula D………………………………………….………………………………con DNI……………………… domiciliado en………………………………………, con correo electrónico: ……………………………………               en representación de la Asociación Apoyo a Teruel Existe contra el:</w:t>
      </w:r>
    </w:p>
    <w:p>
      <w:pPr>
        <w:pStyle w:val="Normal"/>
        <w:spacing w:lineRule="auto" w:line="240" w:before="0" w:after="0"/>
        <w:rPr>
          <w:rFonts w:cs="Arimo"/>
          <w:b/>
          <w:b/>
          <w:sz w:val="24"/>
          <w:szCs w:val="24"/>
        </w:rPr>
      </w:pPr>
      <w:r>
        <w:rPr>
          <w:rFonts w:cs="Arimo"/>
          <w:b/>
          <w:sz w:val="24"/>
          <w:szCs w:val="24"/>
        </w:rPr>
      </w:r>
    </w:p>
    <w:p>
      <w:pPr>
        <w:pStyle w:val="Default"/>
        <w:jc w:val="both"/>
        <w:rPr>
          <w:rFonts w:ascii="Calibri" w:hAnsi="Calibri" w:asciiTheme="minorHAnsi" w:hAnsiTheme="minorHAnsi"/>
          <w:b/>
          <w:b/>
          <w:color w:val="auto"/>
          <w:sz w:val="20"/>
          <w:szCs w:val="20"/>
        </w:rPr>
      </w:pPr>
      <w:r>
        <w:rPr>
          <w:rFonts w:cs="Arimo" w:ascii="Calibri" w:hAnsi="Calibri" w:asciiTheme="minorHAnsi" w:hAnsiTheme="minorHAnsi"/>
          <w:b/>
          <w:iCs/>
          <w:color w:val="auto"/>
          <w:sz w:val="20"/>
          <w:szCs w:val="20"/>
        </w:rPr>
        <w:t>Anuncio de la Dependencia del Área de Industria y Energía de la Subdelegación del Gobierno en Teruel por el que se somete a información pública la solicitud de modificación de la autorización administrativa previa y la solicitud de autorización administrativa de construcción y declaración, en concreto, de utilidad pública del expediente PEol 449 AC "Parques eólicos Cabecero, Concejo, Cid, Estrella y Vacada (total 20 parques) su infraestructura de evacuación hasta la SET Morella 400 y acondicionamiento de accesos para transportes especiales", con una potencia de 727'1 MW en los términos municipales de Fortanete, Mosqueruela, La Iglesuela del Cid, Cantavieja, Villarluengo, Tronchón, Mirambel y Puertomingalvo, en la provincia de Teruel, y los términos municipales de Cinctorres, Portell de Morella y Morella, en la provincia de Castellón publicado en el BOE de 17 de mayo de 2023</w:t>
      </w:r>
    </w:p>
    <w:p>
      <w:pPr>
        <w:pStyle w:val="Default"/>
        <w:rPr>
          <w:rFonts w:ascii="Calibri" w:hAnsi="Calibri" w:asciiTheme="minorHAnsi" w:hAnsiTheme="minorHAnsi"/>
          <w:b/>
          <w:b/>
          <w:color w:val="auto"/>
        </w:rPr>
      </w:pPr>
      <w:r>
        <w:rPr>
          <w:rFonts w:asciiTheme="minorHAnsi" w:hAnsiTheme="minorHAnsi" w:ascii="Calibri" w:hAnsi="Calibri"/>
          <w:b/>
          <w:color w:val="auto"/>
        </w:rPr>
      </w:r>
    </w:p>
    <w:p>
      <w:pPr>
        <w:pStyle w:val="Default"/>
        <w:jc w:val="both"/>
        <w:rPr>
          <w:rFonts w:ascii="Calibri" w:hAnsi="Calibri" w:cs="Arimo" w:asciiTheme="minorHAnsi" w:hAnsiTheme="minorHAnsi"/>
          <w:b/>
          <w:b/>
          <w:iCs/>
          <w:color w:val="auto"/>
          <w:sz w:val="20"/>
          <w:szCs w:val="20"/>
        </w:rPr>
      </w:pPr>
      <w:r>
        <w:rPr>
          <w:rFonts w:cs="Arimo" w:ascii="Calibri" w:hAnsi="Calibri" w:asciiTheme="minorHAnsi" w:hAnsiTheme="minorHAnsi"/>
          <w:b/>
          <w:iCs/>
          <w:color w:val="auto"/>
          <w:sz w:val="20"/>
          <w:szCs w:val="20"/>
        </w:rPr>
        <w:t xml:space="preserve">1. </w:t>
      </w:r>
      <w:r>
        <w:rPr>
          <w:rFonts w:cs="Arimo" w:ascii="Calibri" w:hAnsi="Calibri" w:asciiTheme="minorHAnsi" w:hAnsiTheme="minorHAnsi"/>
          <w:b/>
          <w:iCs/>
          <w:color w:val="auto"/>
          <w:sz w:val="20"/>
          <w:szCs w:val="20"/>
          <w:u w:val="single"/>
        </w:rPr>
        <w:t>SE CREA INDEFENSIÓN AL SOMETER A INFORMACIÓN PÚBLICA LA SOLICITUD DE MODIFICACIÓN DE AUTORIZACIÓN ADMINISTRATIVA PREVIA 17 DÍAS ANTES DE QUE SE CONOZCA EL CONTENIDO DE LA AUTORIZACIÓN ADMINISTRATIVA PREVIA</w:t>
      </w:r>
    </w:p>
    <w:p>
      <w:pPr>
        <w:pStyle w:val="Default"/>
        <w:rPr>
          <w:rFonts w:ascii="Calibri" w:hAnsi="Calibri" w:cs="Arimo" w:asciiTheme="minorHAnsi" w:hAnsiTheme="minorHAnsi"/>
          <w:b/>
          <w:b/>
          <w:iCs/>
          <w:color w:val="auto"/>
          <w:sz w:val="8"/>
          <w:szCs w:val="8"/>
        </w:rPr>
      </w:pPr>
      <w:r>
        <w:rPr>
          <w:rFonts w:cs="Arimo" w:ascii="Calibri" w:hAnsi="Calibri"/>
          <w:b/>
          <w:iCs/>
          <w:color w:val="auto"/>
          <w:sz w:val="8"/>
          <w:szCs w:val="8"/>
        </w:rPr>
      </w:r>
    </w:p>
    <w:p>
      <w:pPr>
        <w:pStyle w:val="Default"/>
        <w:jc w:val="both"/>
        <w:rPr>
          <w:rFonts w:ascii="Arimo" w:hAnsi="Arimo" w:cs="Arimo"/>
          <w:color w:val="auto"/>
        </w:rPr>
      </w:pPr>
      <w:r>
        <w:rPr>
          <w:rFonts w:ascii="Calibri" w:hAnsi="Calibri" w:asciiTheme="minorHAnsi" w:hAnsiTheme="minorHAnsi"/>
          <w:b/>
          <w:color w:val="auto"/>
          <w:sz w:val="20"/>
          <w:szCs w:val="20"/>
        </w:rPr>
        <w:t xml:space="preserve">1.2.1. El 17 de mayo de 2023, diecisiete días antes de la publicación de la Autorización administrativa previa, se publicó el </w:t>
      </w:r>
      <w:r>
        <w:rPr>
          <w:rFonts w:cs="Arimo" w:ascii="Calibri" w:hAnsi="Calibri" w:asciiTheme="minorHAnsi" w:hAnsiTheme="minorHAnsi"/>
          <w:b/>
          <w:iCs/>
          <w:color w:val="auto"/>
          <w:sz w:val="20"/>
          <w:szCs w:val="20"/>
        </w:rPr>
        <w:t>Anuncio de la Dependencia del Área de Industria y Energía de la Subdelegación del Gobierno en Teruel por el que se somete a información pública la solicitud de modificación de la autorización administrativa previa y la solicitud de autorización administrativa de construcción y declaración, en concreto, de utilidad pública del expediente PEol 449 AC "Parques eólicos Cabecero, Concejo, Cid, Estrella y Vacada (total 20 parques) su infraestructura de evacuación hasta la SET Morella 400 y acondicionamiento de accesos para transportes especiales", con una potencia de 727'1 MW en los términos municipales de Fortanete, Mosqueruela, La Iglesuela del Cid, Cantavieja, Villarluengo, Tronchón, Mirambel y Puertomingalvo, en laprovincia de Teruel, y los términos municipales de Cinctorres, Portell de Morella y Morella, en la provincia de Castellón.</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Default"/>
        <w:jc w:val="both"/>
        <w:rPr>
          <w:rFonts w:ascii="Calibri" w:hAnsi="Calibri" w:cs="Arimo" w:asciiTheme="minorHAnsi" w:hAnsiTheme="minorHAnsi"/>
          <w:b/>
          <w:b/>
          <w:i/>
          <w:i/>
          <w:iCs/>
          <w:color w:val="auto"/>
          <w:sz w:val="20"/>
          <w:szCs w:val="20"/>
        </w:rPr>
      </w:pPr>
      <w:r>
        <w:rPr>
          <w:rFonts w:ascii="Calibri" w:hAnsi="Calibri" w:asciiTheme="minorHAnsi" w:hAnsiTheme="minorHAnsi"/>
          <w:b/>
          <w:color w:val="auto"/>
          <w:sz w:val="20"/>
          <w:szCs w:val="20"/>
        </w:rPr>
        <w:t xml:space="preserve">Publicar la Autorización administrativa previa del estas centrales eólicas diecisiete días después de anunciarse la información pública de la modificación de esta autorización administrativa previa, incluida dentro del Expediente </w:t>
      </w:r>
      <w:r>
        <w:rPr>
          <w:rFonts w:cs="Arimo" w:ascii="Calibri" w:hAnsi="Calibri" w:asciiTheme="minorHAnsi" w:hAnsiTheme="minorHAnsi"/>
          <w:b/>
          <w:iCs/>
          <w:color w:val="auto"/>
          <w:sz w:val="20"/>
          <w:szCs w:val="20"/>
        </w:rPr>
        <w:t>Peol 449 AC.</w:t>
      </w:r>
      <w:r>
        <w:rPr>
          <w:rFonts w:cs="Arimo" w:ascii="Calibri" w:hAnsi="Calibri" w:asciiTheme="minorHAnsi" w:hAnsiTheme="minorHAnsi"/>
          <w:b/>
          <w:i/>
          <w:iCs/>
          <w:color w:val="auto"/>
          <w:sz w:val="20"/>
          <w:szCs w:val="20"/>
        </w:rPr>
        <w:t xml:space="preserve"> </w:t>
      </w:r>
      <w:r>
        <w:rPr>
          <w:rFonts w:cs="Arimo" w:ascii="Calibri" w:hAnsi="Calibri" w:asciiTheme="minorHAnsi" w:hAnsiTheme="minorHAnsi"/>
          <w:b/>
          <w:iCs/>
          <w:color w:val="auto"/>
          <w:sz w:val="20"/>
          <w:szCs w:val="20"/>
        </w:rPr>
        <w:t>(BOE de 17 de mayo de 2023), crea inseguridad jurídica</w:t>
      </w:r>
      <w:r>
        <w:rPr>
          <w:rFonts w:cs="Arimo" w:ascii="Calibri" w:hAnsi="Calibri" w:asciiTheme="minorHAnsi" w:hAnsiTheme="minorHAnsi"/>
          <w:b/>
          <w:i/>
          <w:iCs/>
          <w:color w:val="auto"/>
          <w:sz w:val="20"/>
          <w:szCs w:val="20"/>
        </w:rPr>
        <w:t>.</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Default"/>
        <w:jc w:val="both"/>
        <w:rPr>
          <w:rFonts w:ascii="Calibri" w:hAnsi="Calibri" w:cs="Arimo" w:asciiTheme="minorHAnsi" w:hAnsiTheme="minorHAnsi"/>
          <w:b/>
          <w:b/>
          <w:i/>
          <w:i/>
          <w:iCs/>
          <w:color w:val="auto"/>
          <w:sz w:val="20"/>
          <w:szCs w:val="20"/>
        </w:rPr>
      </w:pPr>
      <w:r>
        <w:rPr>
          <w:rFonts w:ascii="Calibri" w:hAnsi="Calibri" w:asciiTheme="minorHAnsi" w:hAnsiTheme="minorHAnsi"/>
          <w:b/>
          <w:color w:val="auto"/>
          <w:sz w:val="20"/>
          <w:szCs w:val="20"/>
        </w:rPr>
        <w:t xml:space="preserve">El plazo que se le concede al ciudadano para alegar pierde su efectividad ya que durante los primeros 12 días de información pública </w:t>
      </w:r>
      <w:r>
        <w:rPr>
          <w:rFonts w:ascii="Calibri" w:hAnsi="Calibri" w:asciiTheme="minorHAnsi" w:hAnsiTheme="minorHAnsi"/>
          <w:b/>
          <w:color w:val="auto"/>
          <w:sz w:val="20"/>
          <w:szCs w:val="20"/>
          <w:u w:val="single"/>
        </w:rPr>
        <w:t>sólo se conocía que se había modificado la autorización administrativa previa pero no se conocía la autorización administrativa previa</w:t>
      </w:r>
      <w:r>
        <w:rPr>
          <w:rFonts w:ascii="Calibri" w:hAnsi="Calibri" w:asciiTheme="minorHAnsi" w:hAnsiTheme="minorHAnsi"/>
          <w:b/>
          <w:color w:val="auto"/>
          <w:sz w:val="20"/>
          <w:szCs w:val="20"/>
        </w:rPr>
        <w:t xml:space="preserve">. Así pues, los interesados </w:t>
      </w:r>
      <w:r>
        <w:rPr>
          <w:rStyle w:val="Destacado"/>
          <w:rFonts w:cs="Arimo" w:ascii="Calibri" w:hAnsi="Calibri" w:asciiTheme="minorHAnsi" w:hAnsiTheme="minorHAnsi"/>
          <w:b/>
          <w:color w:val="auto"/>
          <w:sz w:val="20"/>
          <w:szCs w:val="20"/>
        </w:rPr>
        <w:t>“no han podido ejercer de forma plena su derecho a participar de forma efectiva y con pleno conocimiento de todas las opciones que se presentaban, en un trámite que necesariamente tenía que realizarse en toda su amplitud antes de adoptar la decisión definitiva sobre el proyecto que se promueve”.</w:t>
      </w:r>
    </w:p>
    <w:p>
      <w:pPr>
        <w:pStyle w:val="Normal"/>
        <w:spacing w:lineRule="auto" w:line="240" w:before="0" w:after="0"/>
        <w:jc w:val="both"/>
        <w:rPr>
          <w:rFonts w:ascii="Calibri" w:hAnsi="Calibri" w:cs="Calibri"/>
          <w:b/>
          <w:b/>
          <w:sz w:val="20"/>
          <w:szCs w:val="20"/>
          <w:u w:val="single"/>
        </w:rPr>
      </w:pPr>
      <w:r>
        <w:rPr>
          <w:rFonts w:cs="Calibri"/>
          <w:b/>
          <w:sz w:val="20"/>
          <w:szCs w:val="20"/>
          <w:u w:val="single"/>
        </w:rPr>
      </w:r>
    </w:p>
    <w:p>
      <w:pPr>
        <w:pStyle w:val="Normal"/>
        <w:shd w:val="clear" w:color="auto" w:fill="FFFFFF"/>
        <w:spacing w:lineRule="auto" w:line="240" w:before="0" w:after="0"/>
        <w:jc w:val="both"/>
        <w:rPr>
          <w:rFonts w:cs="Arial"/>
          <w:b/>
          <w:b/>
          <w:sz w:val="20"/>
          <w:szCs w:val="20"/>
          <w:shd w:fill="FFFFFF" w:val="clear"/>
        </w:rPr>
      </w:pPr>
      <w:r>
        <w:rPr>
          <w:rFonts w:cs="Arial"/>
          <w:b/>
          <w:sz w:val="20"/>
          <w:szCs w:val="20"/>
          <w:shd w:fill="FFFFFF" w:val="clear"/>
        </w:rPr>
        <w:t xml:space="preserve">2. </w:t>
      </w:r>
      <w:r>
        <w:rPr>
          <w:rFonts w:cs="Arial"/>
          <w:b/>
          <w:sz w:val="20"/>
          <w:szCs w:val="20"/>
          <w:u w:val="single"/>
          <w:shd w:fill="FFFFFF" w:val="clear"/>
        </w:rPr>
        <w:t>NO SE PUEDE CONVALIDAR LA DECLARACIÓN DE IMPACTO DE UN PROYECTO PARA OTRO PROYECTO DIFERENTE</w:t>
      </w:r>
    </w:p>
    <w:p>
      <w:pPr>
        <w:pStyle w:val="Normal"/>
        <w:spacing w:lineRule="auto" w:line="240" w:before="0" w:after="0"/>
        <w:jc w:val="both"/>
        <w:rPr>
          <w:rFonts w:eastAsia="Times New Roman"/>
          <w:b/>
          <w:b/>
          <w:bCs/>
          <w:sz w:val="8"/>
          <w:szCs w:val="8"/>
          <w:lang w:eastAsia="es-ES"/>
        </w:rPr>
      </w:pPr>
      <w:r>
        <w:rPr>
          <w:rFonts w:eastAsia="Times New Roman"/>
          <w:b/>
          <w:bCs/>
          <w:sz w:val="8"/>
          <w:szCs w:val="8"/>
          <w:lang w:eastAsia="es-ES"/>
        </w:rPr>
      </w:r>
    </w:p>
    <w:p>
      <w:pPr>
        <w:pStyle w:val="Normal"/>
        <w:shd w:val="clear" w:color="auto" w:fill="FFFFFF" w:themeFill="background1"/>
        <w:spacing w:lineRule="auto" w:line="240" w:before="0" w:after="0"/>
        <w:jc w:val="both"/>
        <w:rPr>
          <w:rFonts w:ascii="Calibri" w:hAnsi="Calibri" w:cs="Calibri"/>
          <w:b/>
          <w:b/>
          <w:sz w:val="20"/>
          <w:szCs w:val="20"/>
        </w:rPr>
      </w:pPr>
      <w:r>
        <w:rPr>
          <w:b/>
          <w:sz w:val="20"/>
          <w:szCs w:val="20"/>
          <w:lang w:val="es-ES_tradnl"/>
        </w:rPr>
        <w:t xml:space="preserve">2.1. </w:t>
      </w:r>
      <w:r>
        <w:rPr>
          <w:rFonts w:cs="Calibri"/>
          <w:b/>
          <w:sz w:val="20"/>
          <w:szCs w:val="20"/>
          <w:u w:val="single"/>
        </w:rPr>
        <w:t>El promotor considera que esta nueva información pública es un trámite más de la autorización cuando debería ser el inicio de una nueva evaluación ambiental</w:t>
      </w:r>
    </w:p>
    <w:p>
      <w:pPr>
        <w:pStyle w:val="Normal"/>
        <w:shd w:val="clear" w:color="auto" w:fill="FFFFFF" w:themeFill="background1"/>
        <w:spacing w:lineRule="auto" w:line="240" w:before="0" w:after="0"/>
        <w:jc w:val="both"/>
        <w:rPr>
          <w:rFonts w:ascii="Calibri" w:hAnsi="Calibri" w:cs="Calibri"/>
          <w:b/>
          <w:b/>
          <w:sz w:val="8"/>
          <w:szCs w:val="8"/>
        </w:rPr>
      </w:pPr>
      <w:r>
        <w:rPr>
          <w:rFonts w:cs="Calibri"/>
          <w:b/>
          <w:sz w:val="8"/>
          <w:szCs w:val="8"/>
        </w:rPr>
      </w:r>
    </w:p>
    <w:p>
      <w:pPr>
        <w:pStyle w:val="Normal"/>
        <w:spacing w:lineRule="auto" w:line="240" w:before="0" w:after="0"/>
        <w:jc w:val="both"/>
        <w:rPr>
          <w:b/>
          <w:b/>
          <w:sz w:val="20"/>
          <w:szCs w:val="20"/>
        </w:rPr>
      </w:pPr>
      <w:r>
        <w:rPr>
          <w:b/>
          <w:sz w:val="20"/>
          <w:szCs w:val="20"/>
        </w:rPr>
        <w:t>No se trata de hacer una información pública para ajustarse a la Declaración de impacto, sino que se trata de que la Declaración de impacto se ajuste (o no) a la información pública en función de la afección al medioambiente del proyecto.</w:t>
      </w:r>
    </w:p>
    <w:p>
      <w:pPr>
        <w:pStyle w:val="Normal"/>
        <w:spacing w:lineRule="auto" w:line="240" w:before="0" w:after="0"/>
        <w:jc w:val="both"/>
        <w:rPr>
          <w:b/>
          <w:b/>
          <w:sz w:val="20"/>
          <w:szCs w:val="20"/>
        </w:rPr>
      </w:pPr>
      <w:r>
        <w:rPr>
          <w:b/>
          <w:sz w:val="20"/>
          <w:szCs w:val="20"/>
        </w:rPr>
      </w:r>
    </w:p>
    <w:p>
      <w:pPr>
        <w:pStyle w:val="Normal"/>
        <w:spacing w:lineRule="auto" w:line="240" w:before="0" w:after="0"/>
        <w:jc w:val="both"/>
        <w:rPr>
          <w:b/>
          <w:b/>
          <w:i/>
          <w:i/>
          <w:sz w:val="20"/>
          <w:szCs w:val="20"/>
        </w:rPr>
      </w:pPr>
      <w:r>
        <w:rPr>
          <w:b/>
          <w:sz w:val="20"/>
          <w:szCs w:val="20"/>
        </w:rPr>
        <w:t>Nos encontramos ante una información pública de un proyecto que debe iniciar todo el procedimiento de autorización administrativa, incluida por supuesto la evaluación ambiental.</w:t>
      </w:r>
    </w:p>
    <w:p>
      <w:pPr>
        <w:pStyle w:val="Normal"/>
        <w:spacing w:lineRule="auto" w:line="240" w:before="0" w:after="0"/>
        <w:jc w:val="both"/>
        <w:rPr>
          <w:b/>
          <w:b/>
          <w:i/>
          <w:i/>
          <w:sz w:val="20"/>
          <w:szCs w:val="20"/>
          <w:lang w:val="es-ES_tradnl"/>
        </w:rPr>
      </w:pPr>
      <w:r>
        <w:rPr>
          <w:b/>
          <w:i/>
          <w:sz w:val="20"/>
          <w:szCs w:val="20"/>
          <w:lang w:val="es-ES_tradnl"/>
        </w:rPr>
      </w:r>
    </w:p>
    <w:p>
      <w:pPr>
        <w:pStyle w:val="Normal"/>
        <w:spacing w:lineRule="auto" w:line="240" w:before="0" w:after="0"/>
        <w:jc w:val="both"/>
        <w:rPr>
          <w:b/>
          <w:b/>
          <w:sz w:val="20"/>
          <w:szCs w:val="20"/>
          <w:lang w:val="es-ES_tradnl"/>
        </w:rPr>
      </w:pPr>
      <w:r>
        <w:rPr>
          <w:b/>
          <w:sz w:val="20"/>
          <w:szCs w:val="20"/>
          <w:lang w:val="es-ES_tradnl"/>
        </w:rPr>
        <w:t xml:space="preserve">2.2. </w:t>
      </w:r>
      <w:r>
        <w:rPr>
          <w:b/>
          <w:sz w:val="20"/>
          <w:szCs w:val="20"/>
          <w:u w:val="single"/>
          <w:lang w:val="es-ES_tradnl"/>
        </w:rPr>
        <w:t>Se expone a información pública un proyecto que ya tiene la declaración de impacto ambiental favorable</w:t>
      </w:r>
    </w:p>
    <w:p>
      <w:pPr>
        <w:pStyle w:val="Normal"/>
        <w:spacing w:lineRule="auto" w:line="240" w:before="0" w:after="0"/>
        <w:jc w:val="both"/>
        <w:rPr>
          <w:b/>
          <w:b/>
          <w:sz w:val="8"/>
          <w:szCs w:val="8"/>
          <w:lang w:val="es-ES_tradnl"/>
        </w:rPr>
      </w:pPr>
      <w:r>
        <w:rPr>
          <w:b/>
          <w:sz w:val="8"/>
          <w:szCs w:val="8"/>
          <w:lang w:val="es-ES_tradnl"/>
        </w:rPr>
      </w:r>
    </w:p>
    <w:p>
      <w:pPr>
        <w:pStyle w:val="Normal"/>
        <w:spacing w:lineRule="auto" w:line="240" w:before="0" w:after="0"/>
        <w:jc w:val="both"/>
        <w:rPr>
          <w:rFonts w:cs="Helvetica"/>
          <w:b/>
          <w:b/>
          <w:sz w:val="20"/>
          <w:szCs w:val="20"/>
        </w:rPr>
      </w:pPr>
      <w:r>
        <w:rPr>
          <w:b/>
          <w:sz w:val="20"/>
          <w:szCs w:val="20"/>
          <w:lang w:val="es-ES_tradnl"/>
        </w:rPr>
        <w:t>Formulada la Declaración de impacto ambiental, se modifica el proyecto y se expone de nuevo a información pública, sin estudio ambiental, dándole por convalidada la Declaración de impacto ambiental que se había emitido antes de la modificación.</w:t>
      </w:r>
      <w:r>
        <w:rPr>
          <w:rFonts w:cs="Helvetica"/>
          <w:b/>
          <w:sz w:val="20"/>
          <w:szCs w:val="20"/>
        </w:rPr>
        <w:t xml:space="preserve"> </w:t>
      </w:r>
    </w:p>
    <w:p>
      <w:pPr>
        <w:pStyle w:val="Normal"/>
        <w:shd w:val="clear" w:color="auto" w:fill="FFFFFF" w:themeFill="background1"/>
        <w:spacing w:lineRule="auto" w:line="240" w:before="0" w:after="0"/>
        <w:jc w:val="both"/>
        <w:rPr>
          <w:rFonts w:ascii="Calibri" w:hAnsi="Calibri" w:cs="Calibri"/>
          <w:b/>
          <w:b/>
          <w:sz w:val="20"/>
          <w:szCs w:val="20"/>
        </w:rPr>
      </w:pPr>
      <w:r>
        <w:rPr>
          <w:rFonts w:cs="Calibri"/>
          <w:b/>
          <w:sz w:val="20"/>
          <w:szCs w:val="20"/>
        </w:rPr>
      </w:r>
    </w:p>
    <w:p>
      <w:pPr>
        <w:pStyle w:val="Normal"/>
        <w:shd w:val="clear" w:color="auto" w:fill="FFFFFF" w:themeFill="background1"/>
        <w:spacing w:lineRule="auto" w:line="240" w:before="0" w:after="0"/>
        <w:jc w:val="both"/>
        <w:rPr>
          <w:rFonts w:ascii="Calibri" w:hAnsi="Calibri" w:cs="Calibri"/>
          <w:b/>
          <w:b/>
          <w:sz w:val="20"/>
          <w:szCs w:val="20"/>
        </w:rPr>
      </w:pPr>
      <w:r>
        <w:rPr>
          <w:rFonts w:cs="Calibri"/>
          <w:b/>
          <w:sz w:val="20"/>
          <w:szCs w:val="20"/>
        </w:rPr>
        <w:t xml:space="preserve">El Alcance de la Evaluación, según la Declaración de impacto, se refiere a la documentación </w:t>
      </w:r>
      <w:r>
        <w:rPr>
          <w:rFonts w:cs="Calibri"/>
          <w:b/>
          <w:sz w:val="20"/>
          <w:szCs w:val="20"/>
          <w:u w:val="single"/>
        </w:rPr>
        <w:t>presentada en la primitiva información pública</w:t>
      </w:r>
      <w:r>
        <w:rPr>
          <w:rFonts w:cs="Calibri"/>
          <w:b/>
          <w:sz w:val="20"/>
          <w:szCs w:val="20"/>
        </w:rPr>
        <w:t xml:space="preserve"> y, por tanto, no puede hacerse extensiva para la nueva documentación presentada. </w:t>
      </w:r>
    </w:p>
    <w:p>
      <w:pPr>
        <w:pStyle w:val="Normal"/>
        <w:shd w:val="clear" w:color="auto" w:fill="FFFFFF" w:themeFill="background1"/>
        <w:spacing w:lineRule="auto" w:line="240" w:before="0" w:after="0"/>
        <w:jc w:val="both"/>
        <w:rPr>
          <w:rFonts w:ascii="Calibri" w:hAnsi="Calibri" w:cs="Calibri"/>
          <w:b/>
          <w:b/>
          <w:sz w:val="20"/>
          <w:szCs w:val="20"/>
        </w:rPr>
      </w:pPr>
      <w:r>
        <w:rPr>
          <w:rFonts w:cs="Calibri"/>
          <w:b/>
          <w:sz w:val="20"/>
          <w:szCs w:val="20"/>
        </w:rPr>
      </w:r>
    </w:p>
    <w:p>
      <w:pPr>
        <w:pStyle w:val="Normal"/>
        <w:shd w:val="clear" w:color="auto" w:fill="FFFFFF" w:themeFill="background1"/>
        <w:spacing w:lineRule="auto" w:line="240" w:before="0" w:after="0"/>
        <w:jc w:val="both"/>
        <w:rPr>
          <w:b/>
          <w:b/>
          <w:sz w:val="20"/>
          <w:szCs w:val="20"/>
          <w:shd w:fill="FFFFFF" w:val="clear"/>
        </w:rPr>
      </w:pPr>
      <w:r>
        <w:rPr>
          <w:rFonts w:cs="Calibri"/>
          <w:b/>
          <w:sz w:val="20"/>
          <w:szCs w:val="20"/>
        </w:rPr>
        <w:t>2.3.</w:t>
      </w:r>
      <w:r>
        <w:rPr>
          <w:rFonts w:eastAsia="Times New Roman" w:cs="Times New Roman"/>
          <w:b/>
          <w:bCs/>
          <w:sz w:val="20"/>
          <w:szCs w:val="20"/>
          <w:lang w:eastAsia="es-ES"/>
        </w:rPr>
        <w:t xml:space="preserve"> </w:t>
      </w:r>
      <w:r>
        <w:rPr>
          <w:rFonts w:eastAsia="Times New Roman" w:cs="Times New Roman"/>
          <w:b/>
          <w:bCs/>
          <w:sz w:val="20"/>
          <w:szCs w:val="20"/>
          <w:u w:val="single"/>
          <w:lang w:eastAsia="es-ES"/>
        </w:rPr>
        <w:t xml:space="preserve">La </w:t>
      </w:r>
      <w:r>
        <w:rPr>
          <w:b/>
          <w:sz w:val="20"/>
          <w:szCs w:val="20"/>
          <w:u w:val="single"/>
          <w:shd w:fill="FFFFFF" w:val="clear"/>
        </w:rPr>
        <w:t>información pública debería ser previa a la emisión de la Declaración de impacto</w:t>
      </w:r>
    </w:p>
    <w:p>
      <w:pPr>
        <w:pStyle w:val="Normal"/>
        <w:spacing w:lineRule="auto" w:line="240" w:before="0" w:after="0"/>
        <w:jc w:val="both"/>
        <w:rPr>
          <w:rFonts w:eastAsia="Times New Roman" w:cs="Times New Roman"/>
          <w:b/>
          <w:b/>
          <w:bCs/>
          <w:sz w:val="8"/>
          <w:szCs w:val="8"/>
          <w:lang w:eastAsia="es-ES"/>
        </w:rPr>
      </w:pPr>
      <w:r>
        <w:rPr>
          <w:rFonts w:eastAsia="Times New Roman" w:cs="Times New Roman"/>
          <w:b/>
          <w:bCs/>
          <w:sz w:val="8"/>
          <w:szCs w:val="8"/>
          <w:lang w:eastAsia="es-ES"/>
        </w:rPr>
      </w:r>
    </w:p>
    <w:p>
      <w:pPr>
        <w:pStyle w:val="Normal"/>
        <w:spacing w:lineRule="auto" w:line="240" w:before="0" w:after="0"/>
        <w:jc w:val="both"/>
        <w:rPr>
          <w:b/>
          <w:b/>
          <w:sz w:val="20"/>
          <w:szCs w:val="20"/>
          <w:shd w:fill="FFFFFF" w:val="clear"/>
        </w:rPr>
      </w:pPr>
      <w:r>
        <w:rPr>
          <w:b/>
          <w:sz w:val="20"/>
          <w:szCs w:val="20"/>
          <w:shd w:fill="FFFFFF" w:val="clear"/>
        </w:rPr>
        <w:t>La información pública debería haberse repetido desde el principio y conteniendo todos los requisitos del Estudio ambiental recogidos en los artículos 36 y 37 de la Ley 21/2013.</w:t>
      </w:r>
    </w:p>
    <w:p>
      <w:pPr>
        <w:pStyle w:val="Normal"/>
        <w:spacing w:lineRule="auto" w:line="240" w:before="0" w:after="0"/>
        <w:jc w:val="both"/>
        <w:rPr>
          <w:b/>
          <w:b/>
          <w:sz w:val="20"/>
          <w:szCs w:val="20"/>
          <w:shd w:fill="FFFFFF" w:val="clear"/>
        </w:rPr>
      </w:pPr>
      <w:r>
        <w:rPr>
          <w:b/>
          <w:sz w:val="20"/>
          <w:szCs w:val="20"/>
          <w:shd w:fill="FFFFFF" w:val="clear"/>
        </w:rPr>
      </w:r>
    </w:p>
    <w:p>
      <w:pPr>
        <w:pStyle w:val="Normal"/>
        <w:spacing w:lineRule="auto" w:line="240" w:before="0" w:after="0"/>
        <w:jc w:val="both"/>
        <w:rPr>
          <w:b/>
          <w:b/>
          <w:sz w:val="20"/>
          <w:szCs w:val="20"/>
          <w:shd w:fill="FFFFFF" w:val="clear"/>
        </w:rPr>
      </w:pPr>
      <w:r>
        <w:rPr>
          <w:b/>
          <w:sz w:val="20"/>
          <w:szCs w:val="20"/>
          <w:shd w:fill="FFFFFF" w:val="clear"/>
        </w:rPr>
        <w:t xml:space="preserve">Además esta nueva información pública debe ser obligatoriamente previa a la emisión de la Declaración de impacto no posterior como se ha hecho en estos casos. </w:t>
      </w:r>
      <w:r>
        <w:rPr>
          <w:b/>
          <w:sz w:val="20"/>
          <w:szCs w:val="20"/>
        </w:rPr>
        <w:t>Así pues, puesto que los efectos ambientales son distintos, es de aplicación el artículo 38 de la Ley 21/2013, de 9 de diciembre, de evaluación ambiental:</w:t>
      </w:r>
    </w:p>
    <w:p>
      <w:pPr>
        <w:pStyle w:val="Normal"/>
        <w:shd w:val="clear" w:color="auto" w:fill="FFFFFF" w:themeFill="background1"/>
        <w:spacing w:lineRule="auto" w:line="240" w:before="0" w:after="0"/>
        <w:jc w:val="both"/>
        <w:rPr>
          <w:b/>
          <w:b/>
          <w:sz w:val="8"/>
          <w:szCs w:val="8"/>
        </w:rPr>
      </w:pPr>
      <w:r>
        <w:rPr>
          <w:b/>
          <w:sz w:val="8"/>
          <w:szCs w:val="8"/>
        </w:rPr>
      </w:r>
    </w:p>
    <w:p>
      <w:pPr>
        <w:pStyle w:val="Normal"/>
        <w:shd w:val="clear" w:color="auto" w:fill="FFFFFF" w:themeFill="background1"/>
        <w:spacing w:lineRule="auto" w:line="240" w:before="0" w:after="0"/>
        <w:ind w:left="708" w:hanging="0"/>
        <w:jc w:val="both"/>
        <w:rPr>
          <w:b/>
          <w:b/>
          <w:i/>
          <w:i/>
          <w:sz w:val="20"/>
          <w:szCs w:val="20"/>
        </w:rPr>
      </w:pPr>
      <w:r>
        <w:rPr>
          <w:b/>
          <w:i/>
          <w:sz w:val="20"/>
          <w:szCs w:val="20"/>
        </w:rPr>
        <w:t>“</w:t>
      </w:r>
      <w:r>
        <w:rPr>
          <w:b/>
          <w:i/>
          <w:sz w:val="20"/>
          <w:szCs w:val="20"/>
        </w:rPr>
        <w:t>Si, como consecuencia del trámite de información pública y de consultas a las Administraciones Públicas afectadas y a las personas interesadas, el promotor incorporare en el proyecto o en el estudio de impacto ambiental modificaciones que supongan efectos ambientales significativos distintos de los previstos originalmente, se realizará un nuevo trámite de información pública y consultas en los términos previstos en los artículos 36 y 37, que en todo caso, será previo a la formulación de la declaración de impacto ambiental”.</w:t>
      </w:r>
    </w:p>
    <w:p>
      <w:pPr>
        <w:pStyle w:val="Normal"/>
        <w:spacing w:lineRule="auto" w:line="240" w:before="0" w:after="0"/>
        <w:jc w:val="both"/>
        <w:rPr>
          <w:rStyle w:val="Destacado"/>
          <w:b/>
          <w:b/>
          <w:bCs/>
          <w:sz w:val="20"/>
          <w:szCs w:val="20"/>
        </w:rPr>
      </w:pPr>
      <w:r>
        <w:rPr>
          <w:b/>
          <w:bCs/>
          <w:sz w:val="20"/>
          <w:szCs w:val="20"/>
        </w:rPr>
      </w:r>
    </w:p>
    <w:p>
      <w:pPr>
        <w:pStyle w:val="Normal"/>
        <w:spacing w:lineRule="auto" w:line="240" w:before="0" w:after="0"/>
        <w:jc w:val="both"/>
        <w:rPr>
          <w:b/>
          <w:b/>
          <w:sz w:val="20"/>
          <w:szCs w:val="20"/>
        </w:rPr>
      </w:pPr>
      <w:r>
        <w:rPr>
          <w:rStyle w:val="Destacado"/>
          <w:b/>
          <w:bCs/>
          <w:i w:val="false"/>
          <w:sz w:val="20"/>
          <w:szCs w:val="20"/>
        </w:rPr>
        <w:t>2.4. El artículo 30</w:t>
      </w:r>
      <w:r>
        <w:rPr>
          <w:b/>
          <w:bCs/>
          <w:sz w:val="20"/>
          <w:szCs w:val="20"/>
        </w:rPr>
        <w:t> </w:t>
      </w:r>
      <w:r>
        <w:rPr>
          <w:b/>
          <w:sz w:val="20"/>
          <w:szCs w:val="20"/>
        </w:rPr>
        <w:t>de la Ley 11/2014, de 4 de diciembre, de Prevención y Protección Ambiental de Aragón dice:</w:t>
      </w:r>
    </w:p>
    <w:p>
      <w:pPr>
        <w:pStyle w:val="Normal"/>
        <w:spacing w:lineRule="auto" w:line="240" w:before="0" w:after="0"/>
        <w:jc w:val="both"/>
        <w:rPr>
          <w:b/>
          <w:b/>
          <w:sz w:val="8"/>
          <w:szCs w:val="8"/>
        </w:rPr>
      </w:pPr>
      <w:r>
        <w:rPr>
          <w:b/>
          <w:sz w:val="8"/>
          <w:szCs w:val="8"/>
        </w:rPr>
      </w:r>
    </w:p>
    <w:p>
      <w:pPr>
        <w:pStyle w:val="NormalWeb"/>
        <w:shd w:val="clear" w:color="auto" w:fill="FFFFFF"/>
        <w:spacing w:beforeAutospacing="0" w:before="0" w:afterAutospacing="0" w:after="0"/>
        <w:ind w:left="708" w:hanging="0"/>
        <w:jc w:val="both"/>
        <w:rPr>
          <w:rFonts w:ascii="Calibri" w:hAnsi="Calibri" w:asciiTheme="minorHAnsi" w:hAnsiTheme="minorHAnsi"/>
          <w:b/>
          <w:b/>
          <w:i/>
          <w:i/>
          <w:sz w:val="20"/>
          <w:szCs w:val="20"/>
        </w:rPr>
      </w:pPr>
      <w:r>
        <w:rPr>
          <w:rFonts w:ascii="Calibri" w:hAnsi="Calibri" w:asciiTheme="minorHAnsi" w:hAnsiTheme="minorHAnsi"/>
          <w:b/>
          <w:i/>
          <w:sz w:val="20"/>
          <w:szCs w:val="20"/>
        </w:rPr>
        <w:t>“</w:t>
      </w:r>
      <w:r>
        <w:rPr>
          <w:rFonts w:ascii="Calibri" w:hAnsi="Calibri" w:asciiTheme="minorHAnsi" w:hAnsiTheme="minorHAnsi"/>
          <w:b/>
          <w:i/>
          <w:sz w:val="20"/>
          <w:szCs w:val="20"/>
        </w:rPr>
        <w:t>Si el promotor decidiera redactar una nueva versión del proyecto y del estudio de impacto ambiental a la vista del resultado de la información pública y las consultas, se iniciará de nuevo el procedimiento de evaluación de impacto ambiental”.</w:t>
      </w:r>
    </w:p>
    <w:p>
      <w:pPr>
        <w:pStyle w:val="Normal"/>
        <w:spacing w:lineRule="auto" w:line="240" w:before="0" w:after="0"/>
        <w:jc w:val="both"/>
        <w:rPr>
          <w:b/>
          <w:b/>
          <w:sz w:val="20"/>
          <w:szCs w:val="20"/>
        </w:rPr>
      </w:pPr>
      <w:r>
        <w:rPr>
          <w:b/>
          <w:sz w:val="20"/>
          <w:szCs w:val="20"/>
        </w:rPr>
      </w:r>
    </w:p>
    <w:p>
      <w:pPr>
        <w:pStyle w:val="NormalWeb"/>
        <w:shd w:val="clear" w:color="auto" w:fill="FFFFFF"/>
        <w:spacing w:beforeAutospacing="0" w:before="0" w:afterAutospacing="0" w:after="0"/>
        <w:jc w:val="both"/>
        <w:rPr>
          <w:rFonts w:ascii="Calibri" w:hAnsi="Calibri" w:cs="Arial"/>
          <w:b/>
          <w:b/>
          <w:sz w:val="20"/>
          <w:szCs w:val="20"/>
        </w:rPr>
      </w:pPr>
      <w:r>
        <w:rPr>
          <w:rFonts w:cs="Arial" w:ascii="Calibri" w:hAnsi="Calibri"/>
          <w:b/>
          <w:sz w:val="20"/>
          <w:szCs w:val="20"/>
        </w:rPr>
        <w:t>2.5. Consideramos que modificar  la posición de 25 aerogeneradores es una modificación sustancial y, en cualquier caso, debería repetirse la exposición a información pública, tal y como señala el artículo 38 de la ley 21/2013, de 9 de diciembre, de Evaluación ambiental:</w:t>
      </w:r>
    </w:p>
    <w:p>
      <w:pPr>
        <w:pStyle w:val="Normal"/>
        <w:spacing w:lineRule="auto" w:line="240" w:before="0" w:after="0"/>
        <w:jc w:val="both"/>
        <w:rPr>
          <w:rFonts w:eastAsia="Times New Roman" w:cs="Arial"/>
          <w:b/>
          <w:b/>
          <w:sz w:val="8"/>
          <w:szCs w:val="8"/>
          <w:lang w:eastAsia="es-ES"/>
        </w:rPr>
      </w:pPr>
      <w:r>
        <w:rPr>
          <w:rFonts w:eastAsia="Times New Roman" w:cs="Arial"/>
          <w:b/>
          <w:sz w:val="8"/>
          <w:szCs w:val="8"/>
          <w:lang w:eastAsia="es-ES"/>
        </w:rPr>
      </w:r>
    </w:p>
    <w:p>
      <w:pPr>
        <w:pStyle w:val="Normal"/>
        <w:spacing w:lineRule="auto" w:line="240" w:before="0" w:after="0"/>
        <w:ind w:left="708" w:hanging="0"/>
        <w:jc w:val="both"/>
        <w:rPr>
          <w:rFonts w:cs="Arial"/>
          <w:b/>
          <w:b/>
          <w:i/>
          <w:i/>
          <w:sz w:val="20"/>
          <w:szCs w:val="20"/>
        </w:rPr>
      </w:pPr>
      <w:r>
        <w:rPr>
          <w:rFonts w:eastAsia="Times New Roman" w:cs="Arial"/>
          <w:b/>
          <w:sz w:val="20"/>
          <w:szCs w:val="20"/>
          <w:lang w:eastAsia="es-ES"/>
        </w:rPr>
        <w:t>“</w:t>
      </w:r>
      <w:r>
        <w:rPr>
          <w:rFonts w:cs="Arial"/>
          <w:b/>
          <w:i/>
          <w:sz w:val="20"/>
          <w:szCs w:val="20"/>
        </w:rPr>
        <w:t xml:space="preserve">Modificación del proyecto o del estudio de impacto ambiental y nuevo trámite de información pública y de consultas. </w:t>
      </w:r>
    </w:p>
    <w:p>
      <w:pPr>
        <w:pStyle w:val="Normal"/>
        <w:spacing w:lineRule="auto" w:line="240" w:before="0" w:after="0"/>
        <w:ind w:left="708" w:hanging="0"/>
        <w:jc w:val="both"/>
        <w:rPr>
          <w:rFonts w:cs="Arial"/>
          <w:b/>
          <w:b/>
          <w:i/>
          <w:i/>
          <w:sz w:val="20"/>
          <w:szCs w:val="20"/>
        </w:rPr>
      </w:pPr>
      <w:r>
        <w:rPr>
          <w:rFonts w:cs="Arial"/>
          <w:b/>
          <w:i/>
          <w:sz w:val="20"/>
          <w:szCs w:val="20"/>
        </w:rPr>
        <w:t xml:space="preserve">2. Si, como consecuencia del trámite de información pública y de consultas a las Administraciones Públicas afectadas y a las personas interesadas, </w:t>
      </w:r>
      <w:r>
        <w:rPr>
          <w:rFonts w:cs="Arial"/>
          <w:b/>
          <w:i/>
          <w:sz w:val="20"/>
          <w:szCs w:val="20"/>
          <w:u w:val="single"/>
        </w:rPr>
        <w:t>el promotor incorporare en el proyecto o en el estudio de impacto ambiental modificaciones que supongan efectos ambientales significativos distintos de los previstos originalmente, se realizará un nuevo trámite de información pública</w:t>
      </w:r>
      <w:r>
        <w:rPr>
          <w:rFonts w:cs="Arial"/>
          <w:b/>
          <w:i/>
          <w:sz w:val="20"/>
          <w:szCs w:val="20"/>
        </w:rPr>
        <w:t xml:space="preserve"> y consultas en los términos previstos en los artículos 36 y 37, que en todo caso, será previo a la formulación de la declaración de impacto ambiental”.</w:t>
      </w:r>
    </w:p>
    <w:p>
      <w:pPr>
        <w:pStyle w:val="Normal"/>
        <w:spacing w:lineRule="auto" w:line="240" w:before="0" w:after="0"/>
        <w:ind w:left="708" w:hanging="0"/>
        <w:jc w:val="both"/>
        <w:rPr>
          <w:rFonts w:cs="Arial"/>
          <w:b/>
          <w:b/>
          <w:i/>
          <w:i/>
          <w:sz w:val="20"/>
          <w:szCs w:val="20"/>
        </w:rPr>
      </w:pPr>
      <w:r>
        <w:rPr>
          <w:rFonts w:cs="Arial"/>
          <w:b/>
          <w:i/>
          <w:sz w:val="20"/>
          <w:szCs w:val="20"/>
        </w:rPr>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asciiTheme="minorHAnsi" w:hAnsiTheme="minorHAnsi"/>
          <w:b/>
          <w:sz w:val="20"/>
          <w:szCs w:val="20"/>
        </w:rPr>
        <w:t xml:space="preserve">2.6. Además, el promotor, sin exponer la  modificación  información pública ha modificado la potencia de cada aerogenerador </w:t>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b/>
          <w:sz w:val="20"/>
          <w:szCs w:val="20"/>
        </w:rPr>
      </w:r>
    </w:p>
    <w:p>
      <w:pPr>
        <w:pStyle w:val="Normal"/>
        <w:spacing w:lineRule="auto" w:line="240" w:before="0" w:after="0"/>
        <w:jc w:val="both"/>
        <w:rPr>
          <w:rFonts w:cs="Arial"/>
          <w:b/>
          <w:b/>
          <w:sz w:val="20"/>
          <w:szCs w:val="20"/>
        </w:rPr>
      </w:pPr>
      <w:r>
        <w:rPr>
          <w:rFonts w:cs="Arial"/>
          <w:b/>
          <w:sz w:val="20"/>
          <w:szCs w:val="20"/>
        </w:rPr>
        <w:t>Dice la DIA:</w:t>
      </w:r>
    </w:p>
    <w:p>
      <w:pPr>
        <w:pStyle w:val="Normal"/>
        <w:spacing w:lineRule="auto" w:line="240" w:before="0" w:after="0"/>
        <w:jc w:val="both"/>
        <w:rPr>
          <w:rFonts w:cs="Arial"/>
          <w:b/>
          <w:b/>
          <w:sz w:val="8"/>
          <w:szCs w:val="8"/>
        </w:rPr>
      </w:pPr>
      <w:r>
        <w:rPr>
          <w:rFonts w:cs="Arial"/>
          <w:b/>
          <w:sz w:val="8"/>
          <w:szCs w:val="8"/>
        </w:rPr>
      </w:r>
    </w:p>
    <w:p>
      <w:pPr>
        <w:pStyle w:val="Normal"/>
        <w:spacing w:lineRule="auto" w:line="240" w:before="0" w:after="0"/>
        <w:ind w:left="708" w:hanging="0"/>
        <w:jc w:val="both"/>
        <w:rPr>
          <w:rFonts w:cs="Arial"/>
          <w:b/>
          <w:b/>
          <w:i/>
          <w:i/>
          <w:sz w:val="20"/>
          <w:szCs w:val="20"/>
        </w:rPr>
      </w:pPr>
      <w:r>
        <w:rPr>
          <w:rFonts w:cs="Arial"/>
          <w:b/>
          <w:i/>
          <w:sz w:val="20"/>
          <w:szCs w:val="20"/>
        </w:rPr>
        <w:t>“</w:t>
      </w:r>
      <w:r>
        <w:rPr>
          <w:rFonts w:cs="Arial"/>
          <w:b/>
          <w:i/>
          <w:sz w:val="20"/>
          <w:szCs w:val="20"/>
        </w:rPr>
        <w:t>Además de la modificación en la implantación, el promotor plantea UN CAMBIO RESPECTO A LA TIPOLOGÍA DEL MODELO DE AEROGENERADOR a instalar, que será el mismo en todos los parques, pasando del modelo inicialmente previsto: GE 5,5-158, al GE 6,1-158, con una potencia nominal de 6,1 MW”.</w:t>
      </w:r>
    </w:p>
    <w:p>
      <w:pPr>
        <w:pStyle w:val="Default"/>
        <w:rPr>
          <w:rFonts w:ascii="Tahoma" w:hAnsi="Tahoma" w:cs="Tahoma"/>
          <w:color w:val="auto"/>
          <w:sz w:val="20"/>
          <w:szCs w:val="20"/>
        </w:rPr>
      </w:pPr>
      <w:r>
        <w:rPr>
          <w:rFonts w:cs="Tahoma" w:ascii="Tahoma" w:hAnsi="Tahoma"/>
          <w:color w:val="auto"/>
          <w:sz w:val="20"/>
          <w:szCs w:val="20"/>
        </w:rPr>
      </w:r>
    </w:p>
    <w:p>
      <w:pPr>
        <w:pStyle w:val="Default"/>
        <w:rPr>
          <w:rFonts w:ascii="Calibri" w:hAnsi="Calibri" w:cs="Tahoma" w:asciiTheme="minorHAnsi" w:hAnsiTheme="minorHAnsi"/>
          <w:b/>
          <w:b/>
          <w:color w:val="auto"/>
          <w:sz w:val="20"/>
          <w:szCs w:val="20"/>
        </w:rPr>
      </w:pPr>
      <w:r>
        <w:rPr>
          <w:rFonts w:cs="Tahoma" w:ascii="Calibri" w:hAnsi="Calibri" w:asciiTheme="minorHAnsi" w:hAnsiTheme="minorHAnsi"/>
          <w:b/>
          <w:color w:val="auto"/>
          <w:sz w:val="20"/>
          <w:szCs w:val="20"/>
        </w:rPr>
        <w:t>Esta modificación se trata de una modificación novedosa y arbitraria que no estaba contemplada en el Estudio de Alternativas, donde se contemplaban dos tipos de aerogeneradores:</w:t>
      </w:r>
    </w:p>
    <w:p>
      <w:pPr>
        <w:pStyle w:val="Default"/>
        <w:ind w:left="708" w:hanging="0"/>
        <w:rPr>
          <w:rFonts w:ascii="Calibri" w:hAnsi="Calibri" w:asciiTheme="minorHAnsi" w:hAnsiTheme="minorHAnsi"/>
          <w:b/>
          <w:b/>
          <w:bCs/>
          <w:color w:val="auto"/>
          <w:sz w:val="20"/>
          <w:szCs w:val="20"/>
        </w:rPr>
      </w:pPr>
      <w:r>
        <w:rPr>
          <w:rFonts w:ascii="Calibri" w:hAnsi="Calibri" w:asciiTheme="minorHAnsi" w:hAnsiTheme="minorHAnsi"/>
          <w:b/>
          <w:bCs/>
          <w:color w:val="auto"/>
          <w:sz w:val="20"/>
          <w:szCs w:val="20"/>
        </w:rPr>
        <w:t>GE130-3.8 MMW. y 85 m de altura de buje</w:t>
      </w:r>
    </w:p>
    <w:p>
      <w:pPr>
        <w:pStyle w:val="Default"/>
        <w:ind w:left="708" w:hanging="0"/>
        <w:rPr>
          <w:rFonts w:ascii="Calibri" w:hAnsi="Calibri" w:cs="Tahoma" w:asciiTheme="minorHAnsi" w:hAnsiTheme="minorHAnsi"/>
          <w:b/>
          <w:b/>
          <w:color w:val="auto"/>
          <w:sz w:val="20"/>
          <w:szCs w:val="20"/>
        </w:rPr>
      </w:pPr>
      <w:r>
        <w:rPr>
          <w:rFonts w:ascii="Calibri" w:hAnsi="Calibri" w:asciiTheme="minorHAnsi" w:hAnsiTheme="minorHAnsi"/>
          <w:b/>
          <w:color w:val="auto"/>
          <w:sz w:val="20"/>
          <w:szCs w:val="20"/>
        </w:rPr>
        <w:t>GE158-5.5 MW y 120,9 m de altura de buje</w:t>
      </w:r>
    </w:p>
    <w:p>
      <w:pPr>
        <w:pStyle w:val="Normal"/>
        <w:spacing w:lineRule="auto" w:line="240" w:before="0" w:after="0"/>
        <w:ind w:left="708" w:hanging="0"/>
        <w:jc w:val="both"/>
        <w:rPr>
          <w:rFonts w:cs="Arial"/>
          <w:b/>
          <w:b/>
          <w:i/>
          <w:i/>
          <w:sz w:val="20"/>
          <w:szCs w:val="20"/>
        </w:rPr>
      </w:pPr>
      <w:r>
        <w:rPr>
          <w:rFonts w:cs="Arial"/>
          <w:b/>
          <w:i/>
          <w:sz w:val="20"/>
          <w:szCs w:val="20"/>
        </w:rPr>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mo" w:ascii="Calibri" w:hAnsi="Calibri" w:asciiTheme="minorHAnsi" w:hAnsiTheme="minorHAnsi"/>
          <w:b/>
          <w:sz w:val="20"/>
          <w:szCs w:val="20"/>
        </w:rPr>
        <w:t xml:space="preserve">2.7. </w:t>
      </w:r>
      <w:r>
        <w:rPr>
          <w:rFonts w:cs="Arial" w:ascii="Calibri" w:hAnsi="Calibri" w:asciiTheme="minorHAnsi" w:hAnsiTheme="minorHAnsi"/>
          <w:b/>
          <w:sz w:val="20"/>
          <w:szCs w:val="20"/>
        </w:rPr>
        <w:t>De los 125 aerogeneradores que no se eliminan, 25 cambian de posición. Y todas estas modificaciones se han realizado sin nueva exposición a información pública.  (ALGUNO DE ELLOS HA SIDO DESPLAZADO MÁS DE 4 KM).</w:t>
      </w:r>
    </w:p>
    <w:p>
      <w:pPr>
        <w:pStyle w:val="NormalWeb"/>
        <w:shd w:val="clear" w:color="auto" w:fill="FFFFFF"/>
        <w:spacing w:beforeAutospacing="0" w:before="0" w:afterAutospacing="0" w:after="0"/>
        <w:jc w:val="both"/>
        <w:rPr>
          <w:rFonts w:ascii="Calibri" w:hAnsi="Calibri" w:cs="Arial" w:asciiTheme="minorHAnsi" w:hAnsiTheme="minorHAnsi"/>
          <w:b/>
          <w:b/>
          <w:sz w:val="8"/>
          <w:szCs w:val="8"/>
        </w:rPr>
      </w:pPr>
      <w:r>
        <w:rPr>
          <w:rFonts w:cs="Arial" w:ascii="Calibri" w:hAnsi="Calibri"/>
          <w:b/>
          <w:sz w:val="8"/>
          <w:szCs w:val="8"/>
        </w:rPr>
      </w:r>
    </w:p>
    <w:p>
      <w:pPr>
        <w:pStyle w:val="Normal"/>
        <w:spacing w:lineRule="auto" w:line="240" w:before="0" w:after="0"/>
        <w:ind w:left="708" w:hanging="0"/>
        <w:jc w:val="both"/>
        <w:rPr>
          <w:rFonts w:cs="Arial"/>
          <w:b/>
          <w:b/>
          <w:sz w:val="20"/>
          <w:szCs w:val="20"/>
        </w:rPr>
      </w:pPr>
      <w:r>
        <w:rPr>
          <w:rFonts w:cs="Arial"/>
          <w:b/>
          <w:sz w:val="20"/>
          <w:szCs w:val="20"/>
        </w:rPr>
        <w:t>Uno más de 4 km</w:t>
      </w:r>
    </w:p>
    <w:p>
      <w:pPr>
        <w:pStyle w:val="Normal"/>
        <w:spacing w:lineRule="auto" w:line="240" w:before="0" w:after="0"/>
        <w:ind w:left="708" w:hanging="0"/>
        <w:jc w:val="both"/>
        <w:rPr>
          <w:rFonts w:cs="Arial"/>
          <w:b/>
          <w:b/>
          <w:sz w:val="20"/>
          <w:szCs w:val="20"/>
        </w:rPr>
      </w:pPr>
      <w:r>
        <w:rPr>
          <w:rFonts w:cs="Arial"/>
          <w:b/>
          <w:sz w:val="20"/>
          <w:szCs w:val="20"/>
        </w:rPr>
        <w:t>Dos entre 3 y 4 km</w:t>
      </w:r>
    </w:p>
    <w:p>
      <w:pPr>
        <w:pStyle w:val="Normal"/>
        <w:spacing w:lineRule="auto" w:line="240" w:before="0" w:after="0"/>
        <w:ind w:left="708" w:hanging="0"/>
        <w:jc w:val="both"/>
        <w:rPr>
          <w:rFonts w:cs="Arial"/>
          <w:b/>
          <w:b/>
          <w:sz w:val="20"/>
          <w:szCs w:val="20"/>
        </w:rPr>
      </w:pPr>
      <w:r>
        <w:rPr>
          <w:rFonts w:cs="Arial"/>
          <w:b/>
          <w:sz w:val="20"/>
          <w:szCs w:val="20"/>
        </w:rPr>
        <w:t>Dos entre 2 y 3 km</w:t>
      </w:r>
    </w:p>
    <w:p>
      <w:pPr>
        <w:pStyle w:val="Normal"/>
        <w:spacing w:lineRule="auto" w:line="240" w:before="0" w:after="0"/>
        <w:ind w:left="708" w:hanging="0"/>
        <w:jc w:val="both"/>
        <w:rPr>
          <w:rFonts w:cs="Arial"/>
          <w:b/>
          <w:b/>
          <w:sz w:val="20"/>
          <w:szCs w:val="20"/>
        </w:rPr>
      </w:pPr>
      <w:r>
        <w:rPr>
          <w:rFonts w:cs="Arial"/>
          <w:b/>
          <w:sz w:val="20"/>
          <w:szCs w:val="20"/>
        </w:rPr>
        <w:t>Dos entre 1 y 2 km</w:t>
      </w:r>
    </w:p>
    <w:p>
      <w:pPr>
        <w:pStyle w:val="Normal"/>
        <w:spacing w:lineRule="auto" w:line="240" w:before="0" w:after="0"/>
        <w:jc w:val="both"/>
        <w:rPr>
          <w:rFonts w:cs="Arial"/>
          <w:sz w:val="20"/>
          <w:szCs w:val="20"/>
        </w:rPr>
      </w:pPr>
      <w:r>
        <w:rPr>
          <w:rFonts w:cs="Arial"/>
          <w:sz w:val="20"/>
          <w:szCs w:val="20"/>
        </w:rPr>
      </w:r>
    </w:p>
    <w:p>
      <w:pPr>
        <w:pStyle w:val="Normal"/>
        <w:spacing w:lineRule="auto" w:line="240" w:before="0" w:after="0"/>
        <w:jc w:val="center"/>
        <w:rPr>
          <w:rFonts w:cs="Arial"/>
          <w:sz w:val="21"/>
          <w:szCs w:val="21"/>
        </w:rPr>
      </w:pPr>
      <w:r>
        <w:rPr/>
        <w:drawing>
          <wp:inline distT="0" distB="0" distL="0" distR="0">
            <wp:extent cx="5538470" cy="5914390"/>
            <wp:effectExtent l="0" t="0" r="0" b="0"/>
            <wp:docPr id="2"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5" descr=""/>
                    <pic:cNvPicPr>
                      <a:picLocks noChangeAspect="1" noChangeArrowheads="1"/>
                    </pic:cNvPicPr>
                  </pic:nvPicPr>
                  <pic:blipFill>
                    <a:blip r:embed="rId3"/>
                    <a:stretch>
                      <a:fillRect/>
                    </a:stretch>
                  </pic:blipFill>
                  <pic:spPr bwMode="auto">
                    <a:xfrm>
                      <a:off x="0" y="0"/>
                      <a:ext cx="5538470" cy="5914390"/>
                    </a:xfrm>
                    <a:prstGeom prst="rect">
                      <a:avLst/>
                    </a:prstGeom>
                  </pic:spPr>
                </pic:pic>
              </a:graphicData>
            </a:graphic>
          </wp:inline>
        </w:drawing>
      </w:r>
    </w:p>
    <w:p>
      <w:pPr>
        <w:pStyle w:val="Normal"/>
        <w:spacing w:lineRule="auto" w:line="240" w:before="0" w:after="0"/>
        <w:jc w:val="center"/>
        <w:rPr>
          <w:rFonts w:cs="Arial"/>
          <w:sz w:val="21"/>
          <w:szCs w:val="21"/>
        </w:rPr>
      </w:pPr>
      <w:r>
        <w:rPr/>
        <w:drawing>
          <wp:inline distT="0" distB="0" distL="0" distR="0">
            <wp:extent cx="5720715" cy="5119370"/>
            <wp:effectExtent l="0" t="0" r="0" b="0"/>
            <wp:docPr id="3" name="Imagen 8" descr="E:\1. Batallas\11.12. Maestrazgo 2021\Alegacion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8" descr="E:\1. Batallas\11.12. Maestrazgo 2021\Alegaciones\2.JPG"/>
                    <pic:cNvPicPr>
                      <a:picLocks noChangeAspect="1" noChangeArrowheads="1"/>
                    </pic:cNvPicPr>
                  </pic:nvPicPr>
                  <pic:blipFill>
                    <a:blip r:embed="rId4"/>
                    <a:stretch>
                      <a:fillRect/>
                    </a:stretch>
                  </pic:blipFill>
                  <pic:spPr bwMode="auto">
                    <a:xfrm>
                      <a:off x="0" y="0"/>
                      <a:ext cx="5720715" cy="5119370"/>
                    </a:xfrm>
                    <a:prstGeom prst="rect">
                      <a:avLst/>
                    </a:prstGeom>
                  </pic:spPr>
                </pic:pic>
              </a:graphicData>
            </a:graphic>
          </wp:inline>
        </w:drawing>
      </w:r>
    </w:p>
    <w:p>
      <w:pPr>
        <w:pStyle w:val="Normal"/>
        <w:spacing w:lineRule="auto" w:line="240" w:before="0" w:after="0"/>
        <w:jc w:val="both"/>
        <w:rPr>
          <w:rFonts w:cs="Arial"/>
          <w:b/>
          <w:b/>
          <w:sz w:val="24"/>
          <w:szCs w:val="24"/>
        </w:rPr>
      </w:pPr>
      <w:r>
        <w:rPr>
          <w:rFonts w:cs="Arial"/>
          <w:b/>
          <w:sz w:val="24"/>
          <w:szCs w:val="24"/>
        </w:rPr>
      </w:r>
    </w:p>
    <w:p>
      <w:pPr>
        <w:pStyle w:val="Normal"/>
        <w:spacing w:lineRule="auto" w:line="240" w:before="0" w:after="0"/>
        <w:jc w:val="both"/>
        <w:rPr>
          <w:rFonts w:cs="Arial"/>
          <w:b/>
          <w:b/>
          <w:sz w:val="20"/>
          <w:szCs w:val="20"/>
        </w:rPr>
      </w:pPr>
      <w:r>
        <w:rPr>
          <w:rFonts w:cs="Arial"/>
          <w:b/>
          <w:sz w:val="20"/>
          <w:szCs w:val="20"/>
        </w:rPr>
        <w:t>2.8. Dice la DIA:</w:t>
      </w:r>
    </w:p>
    <w:p>
      <w:pPr>
        <w:pStyle w:val="Normal"/>
        <w:spacing w:lineRule="auto" w:line="240" w:before="0" w:after="0"/>
        <w:jc w:val="both"/>
        <w:rPr>
          <w:rFonts w:cs="Arial"/>
          <w:b/>
          <w:b/>
          <w:sz w:val="8"/>
          <w:szCs w:val="8"/>
        </w:rPr>
      </w:pPr>
      <w:r>
        <w:rPr>
          <w:rFonts w:cs="Arial"/>
          <w:b/>
          <w:sz w:val="8"/>
          <w:szCs w:val="8"/>
        </w:rPr>
      </w:r>
    </w:p>
    <w:p>
      <w:pPr>
        <w:pStyle w:val="Normal"/>
        <w:spacing w:lineRule="auto" w:line="240" w:before="0" w:after="0"/>
        <w:ind w:left="708" w:hanging="0"/>
        <w:jc w:val="both"/>
        <w:rPr>
          <w:rFonts w:cs="Arial"/>
          <w:b/>
          <w:b/>
          <w:i/>
          <w:i/>
          <w:sz w:val="20"/>
          <w:szCs w:val="20"/>
        </w:rPr>
      </w:pPr>
      <w:r>
        <w:rPr>
          <w:rFonts w:cs="Arial"/>
          <w:b/>
          <w:i/>
          <w:sz w:val="20"/>
          <w:szCs w:val="20"/>
        </w:rPr>
        <w:t>“</w:t>
      </w:r>
      <w:r>
        <w:rPr>
          <w:rFonts w:cs="Arial"/>
          <w:b/>
          <w:i/>
          <w:sz w:val="20"/>
          <w:szCs w:val="20"/>
        </w:rPr>
        <w:t>Además de estos aerogeneradores, EL RESTO TAMBIÉN HA SUFRIDO PEQUEÑOS DESPLAZAMIENTOS A UBICACIONES ADYACENTES a las que refleja el proyecto inicialmente presentado. Por otra parte, el despliegue modificado contempla variaciones en los siguientes elementos:</w:t>
      </w:r>
    </w:p>
    <w:p>
      <w:pPr>
        <w:pStyle w:val="Normal"/>
        <w:spacing w:lineRule="auto" w:line="240" w:before="0" w:after="0"/>
        <w:ind w:left="1416" w:hanging="0"/>
        <w:jc w:val="both"/>
        <w:rPr>
          <w:rFonts w:cs="Arial"/>
          <w:b/>
          <w:b/>
          <w:i/>
          <w:i/>
          <w:sz w:val="20"/>
          <w:szCs w:val="20"/>
        </w:rPr>
      </w:pPr>
      <w:r>
        <w:rPr>
          <w:rFonts w:cs="Arial"/>
          <w:b/>
          <w:i/>
          <w:sz w:val="20"/>
          <w:szCs w:val="20"/>
        </w:rPr>
        <w:t>- Línea SET Iglesuela – SET Morella: Adaptación del trazado en los apoyos 18 - 23, 35- 41, 63 - 64 y soterramiento del trazado entre los apoyos 77 y la SET Morella.</w:t>
      </w:r>
    </w:p>
    <w:p>
      <w:pPr>
        <w:pStyle w:val="Normal"/>
        <w:spacing w:lineRule="auto" w:line="240" w:before="0" w:after="0"/>
        <w:ind w:left="1416" w:hanging="0"/>
        <w:jc w:val="both"/>
        <w:rPr>
          <w:rFonts w:cs="Arial"/>
          <w:b/>
          <w:b/>
          <w:i/>
          <w:i/>
          <w:sz w:val="20"/>
          <w:szCs w:val="20"/>
        </w:rPr>
      </w:pPr>
      <w:r>
        <w:rPr>
          <w:rFonts w:cs="Arial"/>
          <w:b/>
          <w:i/>
          <w:sz w:val="20"/>
          <w:szCs w:val="20"/>
        </w:rPr>
        <w:t>- Adaptación del trazado del camino a Cid 1.</w:t>
      </w:r>
    </w:p>
    <w:p>
      <w:pPr>
        <w:pStyle w:val="Normal"/>
        <w:spacing w:lineRule="auto" w:line="240" w:before="0" w:after="0"/>
        <w:ind w:left="1416" w:hanging="0"/>
        <w:jc w:val="both"/>
        <w:rPr>
          <w:rFonts w:cs="Arial"/>
          <w:b/>
          <w:b/>
          <w:i/>
          <w:i/>
          <w:sz w:val="20"/>
          <w:szCs w:val="20"/>
        </w:rPr>
      </w:pPr>
      <w:r>
        <w:rPr>
          <w:rFonts w:cs="Arial"/>
          <w:b/>
          <w:i/>
          <w:sz w:val="20"/>
          <w:szCs w:val="20"/>
        </w:rPr>
        <w:t>- Línea SET Estrella 2 – SET Estrella 1: Adaptación del trazado en los apoyos 25 - 31.</w:t>
      </w:r>
    </w:p>
    <w:p>
      <w:pPr>
        <w:pStyle w:val="Normal"/>
        <w:spacing w:lineRule="auto" w:line="240" w:before="0" w:after="0"/>
        <w:ind w:left="1416" w:hanging="0"/>
        <w:jc w:val="both"/>
        <w:rPr>
          <w:rFonts w:cs="Arial"/>
          <w:b/>
          <w:b/>
          <w:i/>
          <w:i/>
          <w:sz w:val="20"/>
          <w:szCs w:val="20"/>
        </w:rPr>
      </w:pPr>
      <w:r>
        <w:rPr>
          <w:rFonts w:cs="Arial"/>
          <w:b/>
          <w:i/>
          <w:sz w:val="20"/>
          <w:szCs w:val="20"/>
        </w:rPr>
        <w:t>- Línea SET Estrella 1 – SET Iglesuela: Adaptación del trazado en los apoyos 4 - 13 y 47 - 56”.</w:t>
      </w:r>
    </w:p>
    <w:p>
      <w:pPr>
        <w:pStyle w:val="Normal"/>
        <w:spacing w:lineRule="auto" w:line="240" w:before="0" w:after="0"/>
        <w:jc w:val="both"/>
        <w:rPr>
          <w:rFonts w:cs="Arial"/>
          <w:b/>
          <w:b/>
          <w:i/>
          <w:i/>
          <w:sz w:val="20"/>
          <w:szCs w:val="20"/>
        </w:rPr>
      </w:pPr>
      <w:r>
        <w:rPr>
          <w:rFonts w:cs="Arial"/>
          <w:b/>
          <w:i/>
          <w:sz w:val="20"/>
          <w:szCs w:val="20"/>
        </w:rPr>
      </w:r>
    </w:p>
    <w:p>
      <w:pPr>
        <w:pStyle w:val="Normal"/>
        <w:shd w:val="clear" w:color="auto" w:fill="FFFFFF"/>
        <w:spacing w:lineRule="auto" w:line="240" w:before="0" w:after="0"/>
        <w:jc w:val="both"/>
        <w:rPr>
          <w:rFonts w:cs="Arial"/>
          <w:b/>
          <w:b/>
          <w:sz w:val="20"/>
          <w:szCs w:val="20"/>
        </w:rPr>
      </w:pPr>
      <w:r>
        <w:rPr>
          <w:rFonts w:cs="Arial"/>
          <w:b/>
          <w:sz w:val="20"/>
          <w:szCs w:val="20"/>
        </w:rPr>
        <w:t>2.9.</w:t>
      </w:r>
      <w:r>
        <w:rPr>
          <w:rFonts w:cs="Arial"/>
          <w:b/>
          <w:sz w:val="24"/>
          <w:szCs w:val="24"/>
        </w:rPr>
        <w:t xml:space="preserve"> </w:t>
      </w:r>
      <w:r>
        <w:rPr>
          <w:rFonts w:cs="Arial"/>
          <w:b/>
          <w:sz w:val="20"/>
          <w:szCs w:val="20"/>
        </w:rPr>
        <w:t xml:space="preserve">Como bien dice el Defensor del Pueblo en su Informe Anual del año 2011: </w:t>
      </w:r>
    </w:p>
    <w:p>
      <w:pPr>
        <w:pStyle w:val="Normal"/>
        <w:shd w:val="clear" w:color="auto" w:fill="FFFFFF"/>
        <w:spacing w:lineRule="auto" w:line="240" w:before="0" w:after="0"/>
        <w:jc w:val="both"/>
        <w:rPr>
          <w:rFonts w:cs="Arial"/>
          <w:b/>
          <w:b/>
          <w:sz w:val="8"/>
          <w:szCs w:val="8"/>
        </w:rPr>
      </w:pPr>
      <w:r>
        <w:rPr>
          <w:rFonts w:cs="Arial"/>
          <w:b/>
          <w:sz w:val="8"/>
          <w:szCs w:val="8"/>
        </w:rPr>
      </w:r>
    </w:p>
    <w:p>
      <w:pPr>
        <w:pStyle w:val="Normal"/>
        <w:spacing w:lineRule="auto" w:line="240" w:before="0" w:after="0"/>
        <w:ind w:left="708" w:hanging="0"/>
        <w:jc w:val="both"/>
        <w:rPr>
          <w:b/>
          <w:b/>
          <w:i/>
          <w:i/>
          <w:sz w:val="20"/>
          <w:szCs w:val="20"/>
        </w:rPr>
      </w:pPr>
      <w:r>
        <w:rPr>
          <w:b/>
          <w:i/>
          <w:sz w:val="20"/>
          <w:szCs w:val="20"/>
        </w:rPr>
        <w:t>“</w:t>
      </w:r>
      <w:r>
        <w:rPr>
          <w:b/>
          <w:i/>
          <w:sz w:val="20"/>
          <w:szCs w:val="20"/>
        </w:rPr>
        <w:t>El resultado de los análisis ambientales no es un “permiso para impactar”. Si hay impactos y no han sido evaluados, ni por tanto hay previsiones para evitarlos o corregirlos, entonces se necesita una nueva evaluación por insuficiencia o incorrección de la realizada. Si de todo ello se desprende que pueden generarse daños imprevistos y/o excesivos al entorno, no habrá de ser construida la obra que los puede causar”.</w:t>
      </w:r>
    </w:p>
    <w:p>
      <w:pPr>
        <w:pStyle w:val="NormalWeb"/>
        <w:shd w:val="clear" w:color="auto" w:fill="FFFFFF"/>
        <w:spacing w:beforeAutospacing="0" w:before="0" w:afterAutospacing="0" w:after="0"/>
        <w:jc w:val="both"/>
        <w:rPr>
          <w:rFonts w:ascii="Calibri" w:hAnsi="Calibri" w:cs="Arial"/>
          <w:b/>
          <w:b/>
          <w:i/>
          <w:i/>
          <w:sz w:val="20"/>
          <w:szCs w:val="20"/>
        </w:rPr>
      </w:pPr>
      <w:r>
        <w:rPr>
          <w:rFonts w:cs="Arial" w:ascii="Calibri" w:hAnsi="Calibri"/>
          <w:b/>
          <w:i/>
          <w:sz w:val="20"/>
          <w:szCs w:val="20"/>
        </w:rPr>
      </w:r>
    </w:p>
    <w:p>
      <w:pPr>
        <w:pStyle w:val="Normal"/>
        <w:shd w:val="clear" w:color="auto" w:fill="FFFFFF"/>
        <w:spacing w:lineRule="auto" w:line="240" w:before="0" w:after="0"/>
        <w:jc w:val="both"/>
        <w:rPr>
          <w:b/>
          <w:b/>
          <w:sz w:val="20"/>
          <w:szCs w:val="20"/>
        </w:rPr>
      </w:pPr>
      <w:r>
        <w:rPr>
          <w:rFonts w:eastAsia="Times New Roman"/>
          <w:b/>
          <w:bCs/>
          <w:sz w:val="20"/>
          <w:szCs w:val="20"/>
          <w:lang w:eastAsia="es-ES"/>
        </w:rPr>
        <w:t>2.10.</w:t>
      </w:r>
      <w:r>
        <w:rPr>
          <w:rFonts w:eastAsia="Times New Roman"/>
          <w:b/>
          <w:bCs/>
          <w:sz w:val="24"/>
          <w:szCs w:val="24"/>
          <w:lang w:eastAsia="es-ES"/>
        </w:rPr>
        <w:t xml:space="preserve"> </w:t>
      </w:r>
      <w:r>
        <w:rPr>
          <w:rFonts w:eastAsia="Times New Roman"/>
          <w:b/>
          <w:bCs/>
          <w:sz w:val="8"/>
          <w:szCs w:val="8"/>
          <w:lang w:eastAsia="es-ES"/>
        </w:rPr>
        <w:t xml:space="preserve"> </w:t>
      </w:r>
      <w:r>
        <w:rPr>
          <w:b/>
          <w:sz w:val="20"/>
          <w:szCs w:val="20"/>
        </w:rPr>
        <w:t>Algo muy parecido a lo que se ha hecho aquí ocurrió hace unos años en Altea. La Sentencia del TSJ de la CV nº 100/2010 de 1 de febrero de 2010, recurso nº 1337/2005 relativa al puerto de Altea, en su fundamento de derecho quinto señala:</w:t>
      </w:r>
    </w:p>
    <w:p>
      <w:pPr>
        <w:pStyle w:val="Normal"/>
        <w:shd w:val="clear" w:color="auto" w:fill="FFFFFF"/>
        <w:spacing w:lineRule="auto" w:line="240" w:before="0" w:after="0"/>
        <w:jc w:val="both"/>
        <w:rPr>
          <w:b/>
          <w:b/>
          <w:sz w:val="8"/>
          <w:szCs w:val="8"/>
        </w:rPr>
      </w:pPr>
      <w:r>
        <w:rPr>
          <w:b/>
          <w:sz w:val="8"/>
          <w:szCs w:val="8"/>
        </w:rPr>
      </w:r>
    </w:p>
    <w:p>
      <w:pPr>
        <w:pStyle w:val="Normal"/>
        <w:shd w:val="clear" w:color="auto" w:fill="FFFFFF"/>
        <w:spacing w:lineRule="auto" w:line="240" w:before="0" w:after="0"/>
        <w:ind w:left="708" w:hanging="0"/>
        <w:jc w:val="both"/>
        <w:rPr>
          <w:b/>
          <w:b/>
          <w:i/>
          <w:i/>
          <w:sz w:val="20"/>
          <w:szCs w:val="20"/>
        </w:rPr>
      </w:pPr>
      <w:r>
        <w:rPr>
          <w:b/>
          <w:i/>
          <w:sz w:val="20"/>
          <w:szCs w:val="20"/>
        </w:rPr>
        <w:t>“</w:t>
      </w:r>
      <w:r>
        <w:rPr>
          <w:b/>
          <w:i/>
          <w:sz w:val="20"/>
          <w:szCs w:val="20"/>
        </w:rPr>
        <w:t xml:space="preserve">La administración demandada, reconoce que </w:t>
      </w:r>
      <w:r>
        <w:rPr>
          <w:b/>
          <w:i/>
          <w:sz w:val="20"/>
          <w:szCs w:val="20"/>
          <w:u w:val="single"/>
        </w:rPr>
        <w:t>una vez formulada la Declaración de Impacto Ambiental preceptiva fue modificado el Proyecto original</w:t>
      </w:r>
      <w:r>
        <w:rPr>
          <w:b/>
          <w:i/>
          <w:sz w:val="20"/>
          <w:szCs w:val="20"/>
        </w:rPr>
        <w:t xml:space="preserve"> y sometido a nueva Información Pública, considerando que el proyecto modificado era el mismo acerca del cual se formuló la preceptiva Declaración de Impacto Ambiental, y que por ello era válida esta Declaración, aprobándose su convalidación por Resolución de la Directora General de Planificación y Gestión del Medio Ambiente de 10.3.03 (…) Por lo expuesto cabe concluir que el hecho de que no se efectuara nuevo Estudio de impacto ambiental, ni se dictara una nueva DIA, acorde al nuevo proyecto supone un vicio invalidante que determina la nulidad de la Resolución impugnada por falta de DIA, ya que no se corresponde la ratificada por la administración autonómico al Proyecto finalmente aprobado de ampliación del Puerto, por lo que debió de efectuarse una nuevo Estudio de impacto ambiental y DIA acorde al nuevo proyecto, sin que en la convalidada pueda apreciarse, que la evaluación ambiental contemple el proyecto finalmente aprobado lo que supone una infracción del art. 2 de la Ley 2/1989 de Impacto Ambiental de la Generalitat Valenciana, que exige la descripción de las características generales del proyecto y sin que como se ha expuesto la DIA convalidada en el 2003, contenga una descripción de las características generales del proyecto que finalmente fue aprobado, lo que equivale a la inexistencia de la preceptiva Declaración que exige nuestro ordenamiento en materia medio ambiental (…)  En nuestro caso, hay que analizar, si tiene sentido que un proyecto básico de ejecución sea aprobado con una DIA, aprobada para otro proyecto y ello enlazan tanto con los requisitos y límites de la subsanación de los actos administrativos, como con el juego de los vicios formales en el procedimiento administrativo, conectando todo ello con el papel de la evaluación de impacto ambiental. (…) Permitir la convalidación de la DIA a un distinto proyecto básico, iría además contra el efecto útil del Derecho comunitario; efecto útil al que entre otras muchas se refiere la STJUE de 18-6-98 y la de 10-2-09. Las normas internas, y más en concreto el art. 67 de la ley 30/92, que dispone la convalidación de los actos no pueden ser interpretadas de forma que se ponga en tela de juicio el efecto útil de la DIA.</w:t>
      </w:r>
    </w:p>
    <w:p>
      <w:pPr>
        <w:pStyle w:val="Normal"/>
        <w:shd w:val="clear" w:color="auto" w:fill="FFFFFF"/>
        <w:spacing w:lineRule="auto" w:line="240" w:before="0" w:after="0"/>
        <w:ind w:left="708" w:hanging="0"/>
        <w:jc w:val="both"/>
        <w:rPr>
          <w:b/>
          <w:b/>
          <w:i/>
          <w:i/>
          <w:sz w:val="8"/>
          <w:szCs w:val="8"/>
        </w:rPr>
      </w:pPr>
      <w:r>
        <w:rPr>
          <w:b/>
          <w:i/>
          <w:sz w:val="8"/>
          <w:szCs w:val="8"/>
        </w:rPr>
      </w:r>
    </w:p>
    <w:p>
      <w:pPr>
        <w:pStyle w:val="Normal"/>
        <w:shd w:val="clear" w:color="auto" w:fill="FFFFFF"/>
        <w:spacing w:lineRule="auto" w:line="240" w:before="0" w:after="0"/>
        <w:ind w:left="708" w:hanging="0"/>
        <w:jc w:val="both"/>
        <w:rPr>
          <w:b/>
          <w:b/>
          <w:i/>
          <w:i/>
          <w:sz w:val="20"/>
          <w:szCs w:val="20"/>
        </w:rPr>
      </w:pPr>
      <w:r>
        <w:rPr>
          <w:b/>
          <w:i/>
          <w:sz w:val="20"/>
          <w:szCs w:val="20"/>
        </w:rPr>
        <w:t>(…) Se trata de verificar, si un proyecto de una obra pública es o no viable desde el punto de vista ambiental (…) El procedimiento de impacto ambiental exige en todo caso, el sometimiento del estudio de impacto ambiental a información pública; lo que conecta además estrechamente con las directivas 4 y 35/2003 y con la misma consideración del medio ambiente como bien jurídico de titularidad colectiva o aun difusa.(…)</w:t>
      </w:r>
    </w:p>
    <w:p>
      <w:pPr>
        <w:pStyle w:val="Normal"/>
        <w:shd w:val="clear" w:color="auto" w:fill="FFFFFF"/>
        <w:spacing w:lineRule="auto" w:line="240" w:before="0" w:after="0"/>
        <w:ind w:left="708" w:hanging="0"/>
        <w:jc w:val="both"/>
        <w:rPr>
          <w:b/>
          <w:b/>
          <w:i/>
          <w:i/>
          <w:sz w:val="20"/>
          <w:szCs w:val="20"/>
        </w:rPr>
      </w:pPr>
      <w:r>
        <w:rPr>
          <w:b/>
          <w:i/>
          <w:sz w:val="20"/>
          <w:szCs w:val="20"/>
        </w:rPr>
        <w:t>En nuestro caso, hay que analizar, si tiene sentido que un proyecto básico de ejecución sea aprobado con una DIA, aprobada para otro proyecto y ello enlaza tanto con los requisitos y límites de la subsanación de los actos administrativos, como con el juego de los vicios formales en el procedimiento administrativo, conectando todo ello con el papel de la evaluación de impacto ambiental”.</w:t>
      </w:r>
    </w:p>
    <w:p>
      <w:pPr>
        <w:pStyle w:val="Normal"/>
        <w:shd w:val="clear" w:color="auto" w:fill="FFFFFF"/>
        <w:spacing w:lineRule="auto" w:line="240" w:before="0" w:after="0"/>
        <w:jc w:val="both"/>
        <w:rPr>
          <w:rFonts w:cs="Arial"/>
          <w:b/>
          <w:b/>
          <w:sz w:val="20"/>
          <w:szCs w:val="20"/>
          <w:shd w:fill="FFFFFF" w:val="clear"/>
        </w:rPr>
      </w:pPr>
      <w:r>
        <w:rPr>
          <w:rFonts w:cs="Arial"/>
          <w:b/>
          <w:sz w:val="20"/>
          <w:szCs w:val="20"/>
          <w:shd w:fill="FFFFFF" w:val="clear"/>
        </w:rPr>
      </w:r>
    </w:p>
    <w:p>
      <w:pPr>
        <w:pStyle w:val="Normal"/>
        <w:shd w:val="clear" w:color="auto" w:fill="FFFFFF"/>
        <w:spacing w:lineRule="auto" w:line="240" w:before="0" w:after="0"/>
        <w:jc w:val="both"/>
        <w:rPr>
          <w:rFonts w:cs="Arial"/>
          <w:b/>
          <w:b/>
          <w:sz w:val="20"/>
          <w:szCs w:val="20"/>
          <w:shd w:fill="FFFFFF" w:val="clear"/>
        </w:rPr>
      </w:pPr>
      <w:r>
        <w:rPr>
          <w:rFonts w:eastAsia="Times New Roman"/>
          <w:b/>
          <w:bCs/>
          <w:sz w:val="20"/>
          <w:szCs w:val="20"/>
          <w:lang w:eastAsia="es-ES"/>
        </w:rPr>
        <w:t>2.11.</w:t>
      </w:r>
      <w:r>
        <w:rPr>
          <w:rFonts w:cs="Arial"/>
          <w:b/>
          <w:sz w:val="20"/>
          <w:szCs w:val="20"/>
          <w:shd w:fill="FFFFFF" w:val="clear"/>
        </w:rPr>
        <w:t xml:space="preserve"> Según la misma Sentencia del Tribunal Superior de Justicia de la Comunidad Valenciana, Sala de lo Contencioso, sección 2, de 1 de febrero de 2010, nº 100/2010, la DIA debe ajustarse  al proyecto definitivo ya que:</w:t>
      </w:r>
    </w:p>
    <w:p>
      <w:pPr>
        <w:pStyle w:val="Normal"/>
        <w:shd w:val="clear" w:color="auto" w:fill="FFFFFF"/>
        <w:spacing w:lineRule="auto" w:line="240" w:before="0" w:after="0"/>
        <w:jc w:val="both"/>
        <w:rPr>
          <w:rFonts w:cs="Arial"/>
          <w:b/>
          <w:b/>
          <w:sz w:val="8"/>
          <w:szCs w:val="8"/>
        </w:rPr>
      </w:pPr>
      <w:r>
        <w:rPr>
          <w:rFonts w:cs="Arial"/>
          <w:b/>
          <w:sz w:val="8"/>
          <w:szCs w:val="8"/>
        </w:rPr>
      </w:r>
    </w:p>
    <w:p>
      <w:pPr>
        <w:pStyle w:val="Normal"/>
        <w:shd w:val="clear" w:color="auto" w:fill="FFFFFF"/>
        <w:spacing w:lineRule="auto" w:line="240" w:before="0" w:after="0"/>
        <w:ind w:left="708" w:hanging="0"/>
        <w:jc w:val="both"/>
        <w:rPr>
          <w:rFonts w:cs="Arial"/>
          <w:b/>
          <w:b/>
          <w:i/>
          <w:i/>
          <w:iCs/>
          <w:sz w:val="20"/>
          <w:szCs w:val="20"/>
        </w:rPr>
      </w:pPr>
      <w:r>
        <w:rPr>
          <w:rFonts w:cs="Arial"/>
          <w:b/>
          <w:i/>
          <w:iCs/>
          <w:sz w:val="20"/>
          <w:szCs w:val="20"/>
        </w:rPr>
        <w:t>"la ausencia de DIA del proyecto finalmente aprobado es causa de nulidad" ...."ni es posible una DIA para otro proyecto ni es posible la convalidación"...."el procedimiento de impacto ambiental no puede cumplir con su función cuando el órgano ambiental se basa para la declaración de impacto en un proyecto que no resulta el que es objeto de aprobación"</w:t>
      </w:r>
    </w:p>
    <w:p>
      <w:pPr>
        <w:pStyle w:val="Normal"/>
        <w:spacing w:lineRule="auto" w:line="240" w:before="0" w:after="0"/>
        <w:jc w:val="both"/>
        <w:rPr>
          <w:rFonts w:cs="Arial"/>
          <w:b/>
          <w:b/>
          <w:sz w:val="20"/>
          <w:szCs w:val="20"/>
        </w:rPr>
      </w:pPr>
      <w:r>
        <w:rPr>
          <w:rFonts w:cs="Arial"/>
          <w:b/>
          <w:sz w:val="20"/>
          <w:szCs w:val="20"/>
        </w:rPr>
      </w:r>
    </w:p>
    <w:p>
      <w:pPr>
        <w:pStyle w:val="Normal"/>
        <w:spacing w:lineRule="auto" w:line="240" w:before="0" w:after="0"/>
        <w:jc w:val="both"/>
        <w:rPr>
          <w:rFonts w:cs="Arial"/>
          <w:b/>
          <w:b/>
          <w:sz w:val="20"/>
          <w:szCs w:val="20"/>
        </w:rPr>
      </w:pPr>
      <w:r>
        <w:rPr>
          <w:b/>
          <w:sz w:val="20"/>
          <w:szCs w:val="20"/>
        </w:rPr>
        <w:t>2.12.</w:t>
      </w:r>
      <w:r>
        <w:rPr>
          <w:rFonts w:cs="Helvetica"/>
          <w:b/>
          <w:sz w:val="20"/>
          <w:szCs w:val="20"/>
        </w:rPr>
        <w:t xml:space="preserve"> </w:t>
      </w:r>
      <w:r>
        <w:rPr>
          <w:rFonts w:cs="Arial"/>
          <w:b/>
          <w:sz w:val="20"/>
          <w:szCs w:val="20"/>
        </w:rPr>
        <w:t>La Sentencia del TSJ de Castilla León de 4 de noviembre de 2009 recoge en sus Fundamentos de Derecho que:</w:t>
      </w:r>
    </w:p>
    <w:p>
      <w:pPr>
        <w:pStyle w:val="Normal"/>
        <w:spacing w:lineRule="auto" w:line="240" w:before="0" w:after="0"/>
        <w:jc w:val="both"/>
        <w:rPr>
          <w:rFonts w:cs="Arial"/>
          <w:b/>
          <w:b/>
          <w:sz w:val="8"/>
          <w:szCs w:val="8"/>
        </w:rPr>
      </w:pPr>
      <w:r>
        <w:rPr>
          <w:rFonts w:cs="Arial"/>
          <w:b/>
          <w:sz w:val="8"/>
          <w:szCs w:val="8"/>
        </w:rPr>
      </w:r>
    </w:p>
    <w:p>
      <w:pPr>
        <w:pStyle w:val="Normal"/>
        <w:spacing w:lineRule="auto" w:line="240" w:before="0" w:after="0"/>
        <w:ind w:left="708" w:hanging="0"/>
        <w:jc w:val="both"/>
        <w:rPr>
          <w:rFonts w:cs="Arial"/>
          <w:b/>
          <w:b/>
          <w:i/>
          <w:i/>
          <w:sz w:val="20"/>
          <w:szCs w:val="20"/>
        </w:rPr>
      </w:pPr>
      <w:r>
        <w:rPr>
          <w:rFonts w:cs="Arial"/>
          <w:b/>
          <w:i/>
          <w:sz w:val="20"/>
          <w:szCs w:val="20"/>
        </w:rPr>
        <w:t>“</w:t>
      </w:r>
      <w:r>
        <w:rPr>
          <w:rFonts w:cs="Arial"/>
          <w:b/>
          <w:i/>
          <w:sz w:val="20"/>
          <w:szCs w:val="20"/>
        </w:rPr>
        <w:t xml:space="preserve">otros dos parques, en los que resulta un proyecto prácticamente nuevo, </w:t>
      </w:r>
      <w:r>
        <w:rPr>
          <w:rFonts w:cs="Arial"/>
          <w:b/>
          <w:i/>
          <w:sz w:val="20"/>
          <w:szCs w:val="20"/>
          <w:u w:val="single"/>
        </w:rPr>
        <w:t>por lo que la existencia de modificaciones sustanciales debería de haber llevado a nuevos tramites, ya que en otro caso supondría una burla al procedimiento</w:t>
      </w:r>
      <w:r>
        <w:rPr>
          <w:rFonts w:cs="Arial"/>
          <w:b/>
          <w:i/>
          <w:sz w:val="20"/>
          <w:szCs w:val="20"/>
        </w:rPr>
        <w:t>, tal y como indica la sentencia del TSJ de Baleares de 9 de abril de 2002 , por todo lo cual se termina solicitando se declare que el requerimiento formulado por el Gobierno de Cantabria en relación con los proyectos de instalación de los parques eólicos La Sía y la Peluca no es extemporáneo y en consecuencia se extiendan a los mismos los pronunciamientos que siguen:</w:t>
      </w:r>
    </w:p>
    <w:p>
      <w:pPr>
        <w:pStyle w:val="Normal"/>
        <w:spacing w:lineRule="auto" w:line="240" w:before="0" w:after="0"/>
        <w:ind w:left="708" w:hanging="0"/>
        <w:jc w:val="both"/>
        <w:rPr>
          <w:rFonts w:cs="Arial"/>
          <w:b/>
          <w:b/>
          <w:i/>
          <w:i/>
          <w:sz w:val="20"/>
          <w:szCs w:val="20"/>
        </w:rPr>
      </w:pPr>
      <w:r>
        <w:rPr>
          <w:rFonts w:cs="Arial"/>
          <w:b/>
          <w:i/>
          <w:sz w:val="20"/>
          <w:szCs w:val="20"/>
        </w:rPr>
        <w:t>Que sean anuladas las declaraciones sobre evaluación de impacto ambiental recaídas en los procedimientos sobre autorización sobre instalación de parques eólicos La Sía y la Peluca y la Magdalena y en su consecuencia las resoluciones subsiguientes que autorizaron las mencionadas instalaciones. Que con retroacción de actuaciones, sea reconocida la competencia de la Comunidad Autónoma de Cantabria para efectuar una valoración ambiental sobre los proyectos de instalación de los parques eólicos referidos y sus pertinentes estudios ambientales, con remisión a la misma de toda la documentación requerida al efecto”</w:t>
      </w:r>
    </w:p>
    <w:p>
      <w:pPr>
        <w:pStyle w:val="Normal"/>
        <w:spacing w:lineRule="auto" w:line="240" w:before="0" w:after="0"/>
        <w:jc w:val="both"/>
        <w:rPr>
          <w:rFonts w:cs="Baskerville"/>
          <w:b/>
          <w:b/>
          <w:sz w:val="20"/>
          <w:szCs w:val="20"/>
        </w:rPr>
      </w:pPr>
      <w:r>
        <w:rPr>
          <w:rFonts w:cs="Baskerville"/>
          <w:b/>
          <w:sz w:val="20"/>
          <w:szCs w:val="20"/>
        </w:rPr>
      </w:r>
    </w:p>
    <w:p>
      <w:pPr>
        <w:pStyle w:val="Normal"/>
        <w:spacing w:lineRule="auto" w:line="240" w:before="0" w:after="0"/>
        <w:jc w:val="both"/>
        <w:rPr>
          <w:rFonts w:cs="Baskerville"/>
          <w:b/>
          <w:b/>
          <w:sz w:val="20"/>
          <w:szCs w:val="20"/>
        </w:rPr>
      </w:pPr>
      <w:r>
        <w:rPr>
          <w:b/>
          <w:sz w:val="20"/>
          <w:szCs w:val="20"/>
        </w:rPr>
        <w:t>2.13.</w:t>
      </w:r>
      <w:r>
        <w:rPr>
          <w:rFonts w:cs="Helvetica"/>
          <w:b/>
          <w:sz w:val="24"/>
          <w:szCs w:val="24"/>
        </w:rPr>
        <w:t xml:space="preserve"> </w:t>
      </w:r>
      <w:r>
        <w:rPr>
          <w:rFonts w:cs="Baskerville"/>
          <w:b/>
          <w:sz w:val="20"/>
          <w:szCs w:val="20"/>
        </w:rPr>
        <w:t>La Sentencia del TSJ de Castilla León de 10 de mayo de 2010 señala en su Fundamentos de Derecho Segundo que:</w:t>
      </w:r>
    </w:p>
    <w:p>
      <w:pPr>
        <w:pStyle w:val="Normal"/>
        <w:spacing w:lineRule="auto" w:line="240" w:before="0" w:after="0"/>
        <w:jc w:val="both"/>
        <w:rPr>
          <w:rFonts w:cs="Baskerville"/>
          <w:b/>
          <w:b/>
          <w:sz w:val="8"/>
          <w:szCs w:val="8"/>
        </w:rPr>
      </w:pPr>
      <w:r>
        <w:rPr>
          <w:rFonts w:cs="Baskerville"/>
          <w:b/>
          <w:sz w:val="8"/>
          <w:szCs w:val="8"/>
        </w:rPr>
      </w:r>
    </w:p>
    <w:p>
      <w:pPr>
        <w:pStyle w:val="Normal"/>
        <w:spacing w:lineRule="auto" w:line="240" w:before="0" w:after="0"/>
        <w:ind w:left="708" w:hanging="0"/>
        <w:jc w:val="both"/>
        <w:rPr>
          <w:rFonts w:cs="Arial"/>
          <w:b/>
          <w:b/>
          <w:i/>
          <w:i/>
          <w:sz w:val="20"/>
          <w:szCs w:val="20"/>
        </w:rPr>
      </w:pPr>
      <w:r>
        <w:rPr>
          <w:rFonts w:cs="Arial"/>
          <w:b/>
          <w:i/>
          <w:sz w:val="20"/>
          <w:szCs w:val="20"/>
        </w:rPr>
        <w:t>“</w:t>
      </w:r>
      <w:r>
        <w:rPr>
          <w:rFonts w:cs="Arial"/>
          <w:b/>
          <w:i/>
          <w:sz w:val="20"/>
          <w:szCs w:val="20"/>
        </w:rPr>
        <w:t>Antes de emitirse las Declaraciones de Impacto Ambiental, y una vez concluido el trámite de información pública, la empresa presentó la siguiente documentación adicional, que no fue sometida a nuevo trámite de información pública: “Informe Complementario al Estudio de Impacto Ambiental” de cada uno de los tres parques y “Estudio de Sinergias”. Una vez emitidas las tres Declaraciones de Impacto Ambiental, la empresa presentó la documentación complementaria al Modificado núm. 1 del Proyecto de los tres parques eólicos, así como un segundo Informe Complementario al Estudio de Evaluación de Impacto Ambiental, y el 4 de diciembre de 2006 el Proyecto de Ejecución Subestación Transformadora de 132/30 SET Tabanera.</w:t>
      </w:r>
    </w:p>
    <w:p>
      <w:pPr>
        <w:pStyle w:val="Normal"/>
        <w:spacing w:lineRule="auto" w:line="240" w:before="0" w:after="0"/>
        <w:ind w:left="708" w:hanging="0"/>
        <w:jc w:val="both"/>
        <w:rPr>
          <w:rFonts w:cs="Arial"/>
          <w:b/>
          <w:b/>
          <w:i/>
          <w:i/>
          <w:sz w:val="20"/>
          <w:szCs w:val="20"/>
        </w:rPr>
      </w:pPr>
      <w:r>
        <w:rPr>
          <w:rFonts w:cs="Arial"/>
          <w:b/>
          <w:i/>
          <w:sz w:val="20"/>
          <w:szCs w:val="20"/>
        </w:rPr>
        <w:t xml:space="preserve">Se otorgó la autorización administrativa con fecha 20 de febrero de 2007 con las nuevas características de los aerogeneradores y con el aumento total de potencia, pero con las condiciones de la declaración de impacto ambiental publicada el 18 de septiembre de 2006, que no fue modificada, y </w:t>
      </w:r>
      <w:r>
        <w:rPr>
          <w:rFonts w:cs="Arial"/>
          <w:b/>
          <w:i/>
          <w:sz w:val="20"/>
          <w:szCs w:val="20"/>
          <w:u w:val="single"/>
        </w:rPr>
        <w:t>en su emisión y contenido no había tenido en cuenta las nuevas características de los aerogeneradores</w:t>
      </w:r>
      <w:r>
        <w:rPr>
          <w:rFonts w:cs="Arial"/>
          <w:b/>
          <w:i/>
          <w:sz w:val="20"/>
          <w:szCs w:val="20"/>
        </w:rPr>
        <w:t xml:space="preserve"> (aumento de potencia y altura). Se vulnera el art. 3 del Real Decreto Legislativo 1302/86 y los artículos 45 y 51 de la Ley 11/2003. Según la jurisprudencia del Tribunal Supremo es exigible un nuevo periodo de información pública cuando se produzcan modificaciones sustanciales del contenido del proyecto originario. Se debe considerar la evaluación “adecuada” que recogen los artículos 6 de la Directiva de Hábitats y del Real Decreto 1997/95. En ningún caso las medidas adoptadas pueden considerarse medidas compensatorias adecuadas conforme a dichos preceptos”.</w:t>
      </w:r>
    </w:p>
    <w:p>
      <w:pPr>
        <w:pStyle w:val="Normal"/>
        <w:spacing w:lineRule="auto" w:line="240" w:before="0" w:after="0"/>
        <w:jc w:val="both"/>
        <w:rPr>
          <w:rFonts w:cs="Arial"/>
          <w:b/>
          <w:b/>
          <w:sz w:val="20"/>
          <w:szCs w:val="20"/>
          <w:u w:val="single"/>
        </w:rPr>
      </w:pPr>
      <w:r>
        <w:rPr>
          <w:rFonts w:cs="Arial"/>
          <w:b/>
          <w:sz w:val="20"/>
          <w:szCs w:val="20"/>
          <w:u w:val="single"/>
        </w:rPr>
      </w:r>
    </w:p>
    <w:p>
      <w:pPr>
        <w:pStyle w:val="Normal"/>
        <w:spacing w:lineRule="auto" w:line="240" w:before="0" w:after="0"/>
        <w:jc w:val="both"/>
        <w:rPr>
          <w:rFonts w:cs="Calibri"/>
          <w:b/>
          <w:b/>
          <w:sz w:val="20"/>
          <w:szCs w:val="20"/>
        </w:rPr>
      </w:pPr>
      <w:r>
        <w:rPr>
          <w:b/>
          <w:sz w:val="20"/>
          <w:szCs w:val="20"/>
        </w:rPr>
        <w:t>2.14</w:t>
      </w:r>
      <w:r>
        <w:rPr>
          <w:rFonts w:cs="Arial"/>
          <w:b/>
          <w:sz w:val="20"/>
          <w:szCs w:val="20"/>
        </w:rPr>
        <w:t xml:space="preserve">. </w:t>
      </w:r>
      <w:r>
        <w:rPr>
          <w:rFonts w:cs="Calibri"/>
          <w:b/>
          <w:sz w:val="20"/>
          <w:szCs w:val="20"/>
        </w:rPr>
        <w:t>En un caso similar, con un posterior aumento de la potencia unitaria de cada aerogenerador, la Sentencia del TSJ de Castilla León de Burgos, de 10 de mayo de 2010, nº de resolución 333/2010 y nº de recurso 211/2008, obliga a realizar una nueva declaración de impacto ambiental al establecer que:</w:t>
      </w:r>
    </w:p>
    <w:p>
      <w:pPr>
        <w:pStyle w:val="Normal"/>
        <w:spacing w:lineRule="auto" w:line="240" w:before="0" w:after="0"/>
        <w:jc w:val="both"/>
        <w:rPr>
          <w:rFonts w:cs="Calibri"/>
          <w:b/>
          <w:b/>
          <w:sz w:val="8"/>
          <w:szCs w:val="8"/>
        </w:rPr>
      </w:pPr>
      <w:r>
        <w:rPr>
          <w:rFonts w:cs="Calibri"/>
          <w:b/>
          <w:sz w:val="8"/>
          <w:szCs w:val="8"/>
        </w:rPr>
      </w:r>
    </w:p>
    <w:p>
      <w:pPr>
        <w:pStyle w:val="Normal"/>
        <w:spacing w:lineRule="auto" w:line="240" w:before="0" w:after="0"/>
        <w:ind w:left="708" w:hanging="0"/>
        <w:jc w:val="both"/>
        <w:rPr>
          <w:rFonts w:cs="Calibri"/>
          <w:b/>
          <w:b/>
          <w:i/>
          <w:i/>
          <w:sz w:val="20"/>
          <w:szCs w:val="20"/>
        </w:rPr>
      </w:pPr>
      <w:r>
        <w:rPr>
          <w:rFonts w:cs="Calibri"/>
          <w:b/>
          <w:i/>
          <w:sz w:val="20"/>
          <w:szCs w:val="20"/>
        </w:rPr>
        <w:t>“</w:t>
      </w:r>
      <w:r>
        <w:rPr>
          <w:rFonts w:cs="Calibri"/>
          <w:b/>
          <w:i/>
          <w:sz w:val="20"/>
          <w:szCs w:val="20"/>
        </w:rPr>
        <w:t>la Declaración de Impacto Ambiental otorgada es para un proyecto totalmente distinto del proyecto para el que es objeto de autorización y que debe ser sometido a una nueva Declaración de Impacto Ambiental”</w:t>
      </w:r>
    </w:p>
    <w:p>
      <w:pPr>
        <w:pStyle w:val="Normal"/>
        <w:spacing w:lineRule="auto" w:line="240" w:before="0" w:after="0"/>
        <w:jc w:val="both"/>
        <w:rPr>
          <w:rFonts w:cs="Calibri"/>
          <w:b/>
          <w:b/>
          <w:sz w:val="20"/>
          <w:szCs w:val="20"/>
        </w:rPr>
      </w:pPr>
      <w:r>
        <w:rPr>
          <w:rFonts w:cs="Calibri"/>
          <w:b/>
          <w:sz w:val="20"/>
          <w:szCs w:val="20"/>
        </w:rPr>
      </w:r>
    </w:p>
    <w:p>
      <w:pPr>
        <w:pStyle w:val="Normal"/>
        <w:spacing w:lineRule="auto" w:line="240" w:before="0" w:after="0"/>
        <w:jc w:val="both"/>
        <w:rPr>
          <w:rFonts w:cs="Arial"/>
          <w:b/>
          <w:b/>
          <w:sz w:val="20"/>
          <w:szCs w:val="20"/>
        </w:rPr>
      </w:pPr>
      <w:r>
        <w:rPr>
          <w:b/>
          <w:sz w:val="20"/>
          <w:szCs w:val="20"/>
        </w:rPr>
        <w:t>2.15</w:t>
      </w:r>
      <w:r>
        <w:rPr>
          <w:rFonts w:cs="Arial"/>
          <w:b/>
          <w:sz w:val="20"/>
          <w:szCs w:val="20"/>
        </w:rPr>
        <w:t>. La sentencia del TSJ de Castilla León de 21 de enero de 2005 recoge la denuncia de que:</w:t>
      </w:r>
    </w:p>
    <w:p>
      <w:pPr>
        <w:pStyle w:val="Normal"/>
        <w:spacing w:lineRule="auto" w:line="240" w:before="0" w:after="0"/>
        <w:jc w:val="both"/>
        <w:rPr>
          <w:rFonts w:cs="Arial"/>
          <w:b/>
          <w:b/>
          <w:sz w:val="8"/>
          <w:szCs w:val="8"/>
        </w:rPr>
      </w:pPr>
      <w:r>
        <w:rPr>
          <w:rFonts w:cs="Arial"/>
          <w:b/>
          <w:sz w:val="8"/>
          <w:szCs w:val="8"/>
        </w:rPr>
      </w:r>
    </w:p>
    <w:p>
      <w:pPr>
        <w:pStyle w:val="Normal"/>
        <w:spacing w:lineRule="auto" w:line="240" w:before="0" w:after="0"/>
        <w:ind w:left="708" w:hanging="0"/>
        <w:jc w:val="both"/>
        <w:rPr>
          <w:rFonts w:cs="Arial"/>
          <w:b/>
          <w:b/>
          <w:i/>
          <w:i/>
          <w:sz w:val="20"/>
          <w:szCs w:val="20"/>
        </w:rPr>
      </w:pPr>
      <w:r>
        <w:rPr>
          <w:rFonts w:cs="Arial"/>
          <w:b/>
          <w:i/>
          <w:sz w:val="20"/>
          <w:szCs w:val="20"/>
        </w:rPr>
        <w:t>“</w:t>
      </w:r>
      <w:r>
        <w:rPr>
          <w:rFonts w:cs="Arial"/>
          <w:b/>
          <w:i/>
          <w:sz w:val="20"/>
          <w:szCs w:val="20"/>
          <w:u w:val="single"/>
        </w:rPr>
        <w:t>La instalación que figura en el Proyecto y se sometió a información pública y que obtuvo el reconocimiento de instalación de producción de energía eólica es distinta de la finalmente autorizada</w:t>
      </w:r>
      <w:r>
        <w:rPr>
          <w:rFonts w:cs="Arial"/>
          <w:b/>
          <w:i/>
          <w:sz w:val="20"/>
          <w:szCs w:val="20"/>
        </w:rPr>
        <w:t xml:space="preserve"> (…) con lo que se ha desnaturalizado el trámite de la información pública (…) ya que se elude así el requisito de control que supone el reconocimiento de instalación de régimen especial, y (…) la necesidad de identificar y localizar los bienes y derechos afectados por el proyecto, desnaturalizando el procedimiento, ya que la instalación que fue finalmente autorizada es distinta a la que se informa favorablemente por el Ente Regional, folio 61 a 67 del expediente, por lo que la autorizada no ha pasado por el filtro del citado informe, y siendo así que la Dirección General de Industria Energía y Minas otorgó la condición de instalación de producción acogida al Régimen Especial a la instalación inicialmente proyectada que tiene unas características distintas a la finalmente autorizada…”</w:t>
      </w:r>
    </w:p>
    <w:p>
      <w:pPr>
        <w:pStyle w:val="Normal"/>
        <w:spacing w:lineRule="auto" w:line="240" w:before="0" w:after="0"/>
        <w:ind w:left="708" w:hanging="0"/>
        <w:jc w:val="both"/>
        <w:rPr>
          <w:rFonts w:cs="Arial"/>
          <w:b/>
          <w:b/>
          <w:i/>
          <w:i/>
          <w:sz w:val="8"/>
          <w:szCs w:val="8"/>
        </w:rPr>
      </w:pPr>
      <w:r>
        <w:rPr>
          <w:rFonts w:cs="Arial"/>
          <w:b/>
          <w:i/>
          <w:sz w:val="8"/>
          <w:szCs w:val="8"/>
        </w:rPr>
      </w:r>
    </w:p>
    <w:p>
      <w:pPr>
        <w:pStyle w:val="Normal"/>
        <w:spacing w:lineRule="auto" w:line="240" w:before="0" w:after="0"/>
        <w:ind w:left="708" w:hanging="0"/>
        <w:jc w:val="both"/>
        <w:rPr>
          <w:rFonts w:cs="Arial"/>
          <w:b/>
          <w:b/>
          <w:i/>
          <w:i/>
          <w:sz w:val="20"/>
          <w:szCs w:val="20"/>
        </w:rPr>
      </w:pPr>
      <w:r>
        <w:rPr>
          <w:rFonts w:cs="Arial"/>
          <w:b/>
          <w:i/>
          <w:sz w:val="20"/>
          <w:szCs w:val="20"/>
        </w:rPr>
        <w:t>“</w:t>
      </w:r>
      <w:r>
        <w:rPr>
          <w:rFonts w:cs="Arial"/>
          <w:b/>
          <w:i/>
          <w:sz w:val="20"/>
          <w:szCs w:val="20"/>
        </w:rPr>
        <w:t xml:space="preserve">la sentencia de instancia, donde se recoge que se modificó la solicitud inicial y el proyecto de ejecución y pese a ello no se considera que proceda la nulidad o anulación de la resolución impugnada y apoya tal conclusión en el informe emitido por el Ente Regional obrante al folio 61 a 66 del expediente y en base al mismo se concluye que cabe admitir modificaciones del Proyecto adecuadas a ese fin, que es que el Proyecto sea el más adecuado técnica y medioambientalmente en la zona, pero ello no se puede admitir por cuanto no existe motivación de la alteración de la instalación proyectada, y porque además, lo que se discute no es eso, </w:t>
      </w:r>
      <w:r>
        <w:rPr>
          <w:rFonts w:cs="Arial"/>
          <w:b/>
          <w:i/>
          <w:sz w:val="20"/>
          <w:szCs w:val="20"/>
          <w:u w:val="single"/>
        </w:rPr>
        <w:t>sino que producida la modificación, se haya sometido a información pública y a informe el Proyecto inicial y no la modificación</w:t>
      </w:r>
      <w:r>
        <w:rPr>
          <w:rFonts w:cs="Arial"/>
          <w:b/>
          <w:i/>
          <w:sz w:val="20"/>
          <w:szCs w:val="20"/>
        </w:rPr>
        <w:t>, y al no haberse hecho así, estamos ante la inobservancia de tramites esenciales del procedimiento, que conllevan la nulidad de pleno derecho o anulación de la resolución recurrida”.</w:t>
      </w:r>
    </w:p>
    <w:p>
      <w:pPr>
        <w:pStyle w:val="Normal"/>
        <w:spacing w:lineRule="auto" w:line="240" w:before="0" w:after="0"/>
        <w:jc w:val="both"/>
        <w:rPr>
          <w:rFonts w:cs="Arial"/>
          <w:b/>
          <w:b/>
          <w:i/>
          <w:i/>
          <w:sz w:val="20"/>
          <w:szCs w:val="20"/>
        </w:rPr>
      </w:pPr>
      <w:r>
        <w:rPr>
          <w:rFonts w:cs="Arial"/>
          <w:b/>
          <w:i/>
          <w:sz w:val="20"/>
          <w:szCs w:val="20"/>
        </w:rPr>
      </w:r>
    </w:p>
    <w:p>
      <w:pPr>
        <w:pStyle w:val="Normal"/>
        <w:spacing w:lineRule="auto" w:line="240" w:before="0" w:after="0"/>
        <w:jc w:val="both"/>
        <w:rPr>
          <w:rFonts w:cs="Arial"/>
          <w:b/>
          <w:b/>
          <w:sz w:val="20"/>
          <w:szCs w:val="20"/>
        </w:rPr>
      </w:pPr>
      <w:r>
        <w:rPr>
          <w:b/>
          <w:sz w:val="20"/>
          <w:szCs w:val="20"/>
        </w:rPr>
        <w:t>2.16</w:t>
      </w:r>
      <w:r>
        <w:rPr>
          <w:rFonts w:cs="Helvetica"/>
          <w:b/>
          <w:sz w:val="20"/>
          <w:szCs w:val="20"/>
        </w:rPr>
        <w:t xml:space="preserve">. La </w:t>
      </w:r>
      <w:r>
        <w:rPr>
          <w:rFonts w:cs="Arial"/>
          <w:b/>
          <w:sz w:val="20"/>
          <w:szCs w:val="20"/>
        </w:rPr>
        <w:t>Sentencia del TSJ de CL Burgos de 10 de mayo de 2010 (nº de recurso 211/2008) señala:</w:t>
      </w:r>
    </w:p>
    <w:p>
      <w:pPr>
        <w:pStyle w:val="Normal"/>
        <w:spacing w:lineRule="auto" w:line="240" w:before="0" w:after="0"/>
        <w:jc w:val="both"/>
        <w:rPr>
          <w:rFonts w:cs="Arial"/>
          <w:b/>
          <w:b/>
          <w:sz w:val="8"/>
          <w:szCs w:val="8"/>
        </w:rPr>
      </w:pPr>
      <w:r>
        <w:rPr>
          <w:rFonts w:cs="Arial"/>
          <w:b/>
          <w:sz w:val="8"/>
          <w:szCs w:val="8"/>
        </w:rPr>
      </w:r>
    </w:p>
    <w:p>
      <w:pPr>
        <w:pStyle w:val="Normal"/>
        <w:spacing w:lineRule="auto" w:line="240" w:before="0" w:after="0"/>
        <w:ind w:left="708" w:hanging="0"/>
        <w:jc w:val="both"/>
        <w:rPr>
          <w:rFonts w:cs="Arial"/>
          <w:b/>
          <w:b/>
          <w:i/>
          <w:i/>
          <w:sz w:val="20"/>
          <w:szCs w:val="20"/>
        </w:rPr>
      </w:pPr>
      <w:r>
        <w:rPr>
          <w:rFonts w:cs="Arial"/>
          <w:b/>
          <w:i/>
          <w:sz w:val="20"/>
          <w:szCs w:val="20"/>
        </w:rPr>
        <w:t>“</w:t>
      </w:r>
      <w:r>
        <w:rPr>
          <w:rFonts w:cs="Arial"/>
          <w:b/>
          <w:i/>
          <w:sz w:val="20"/>
          <w:szCs w:val="20"/>
        </w:rPr>
        <w:t xml:space="preserve">concluido el trámite de información pública, la empresa presentó en febrero de 2006 "Informe Complementario al Estudio de Impacto Ambiental" en cada uno de los tres parques, proponiendo diversas alternativas para varios aerogeneradores, sin que dicha documentación fuera sometida a información”  (….) </w:t>
      </w:r>
    </w:p>
    <w:p>
      <w:pPr>
        <w:pStyle w:val="Normal"/>
        <w:spacing w:lineRule="auto" w:line="240" w:before="0" w:after="0"/>
        <w:ind w:left="708" w:hanging="0"/>
        <w:jc w:val="both"/>
        <w:rPr>
          <w:rFonts w:cs="Arial"/>
          <w:b/>
          <w:b/>
          <w:i/>
          <w:i/>
          <w:sz w:val="20"/>
          <w:szCs w:val="20"/>
        </w:rPr>
      </w:pPr>
      <w:r>
        <w:rPr>
          <w:rFonts w:cs="Arial"/>
          <w:b/>
          <w:i/>
          <w:sz w:val="20"/>
          <w:szCs w:val="20"/>
        </w:rPr>
        <w:t>Fundamento Der. Quinto:(…)la Declaración de Impacto Ambiental otorgada es para un proyecto totalmente distinto del proyecto para el que es objeto de autorización y que debe ser sometido a una nueva Declaración de Impacto Ambiental”</w:t>
      </w:r>
    </w:p>
    <w:p>
      <w:pPr>
        <w:pStyle w:val="Normal"/>
        <w:spacing w:lineRule="auto" w:line="240" w:before="0" w:after="0"/>
        <w:jc w:val="both"/>
        <w:rPr>
          <w:rFonts w:cs="Arial"/>
          <w:b/>
          <w:b/>
          <w:sz w:val="20"/>
          <w:szCs w:val="20"/>
        </w:rPr>
      </w:pPr>
      <w:r>
        <w:rPr>
          <w:rFonts w:cs="Arial"/>
          <w:b/>
          <w:sz w:val="20"/>
          <w:szCs w:val="20"/>
        </w:rPr>
      </w:r>
    </w:p>
    <w:p>
      <w:pPr>
        <w:pStyle w:val="Normal"/>
        <w:spacing w:lineRule="auto" w:line="240" w:before="0" w:after="0"/>
        <w:jc w:val="both"/>
        <w:rPr>
          <w:rFonts w:cs="Arial"/>
          <w:b/>
          <w:b/>
          <w:sz w:val="20"/>
          <w:szCs w:val="20"/>
        </w:rPr>
      </w:pPr>
      <w:r>
        <w:rPr>
          <w:b/>
          <w:sz w:val="20"/>
          <w:szCs w:val="20"/>
        </w:rPr>
        <w:t>2.17</w:t>
      </w:r>
      <w:r>
        <w:rPr>
          <w:rFonts w:cs="Helvetica"/>
          <w:b/>
          <w:sz w:val="20"/>
          <w:szCs w:val="20"/>
        </w:rPr>
        <w:t>.</w:t>
      </w:r>
      <w:r>
        <w:rPr>
          <w:rFonts w:cs="Helvetica"/>
          <w:b/>
          <w:sz w:val="24"/>
          <w:szCs w:val="24"/>
        </w:rPr>
        <w:t xml:space="preserve"> </w:t>
      </w:r>
      <w:r>
        <w:rPr>
          <w:rFonts w:cs="Arial"/>
          <w:b/>
          <w:sz w:val="20"/>
          <w:szCs w:val="20"/>
        </w:rPr>
        <w:t>En 2002, el Tribunal Supremo paralizó la construcción de la línea eléctrica Soto de Ribera -Penagos por haberse autorizado cambios sobre el trazado original sin haberse sometido a evaluación de impacto (STS de 1 de abril de 2002, sección III de la Sala de lo Contencioso Administrativo, que anuló la declaración de utilidad pública basándose en que los cambios sobre el trazado original no fueron sometidos al procedimiento de evaluación de impacto ambiental, nº de recurso 860/2000, Ponente: Francisco Trujillo Mamely)</w:t>
      </w:r>
    </w:p>
    <w:p>
      <w:pPr>
        <w:pStyle w:val="Normal"/>
        <w:spacing w:lineRule="auto" w:line="240" w:before="0" w:after="0"/>
        <w:jc w:val="both"/>
        <w:rPr>
          <w:b/>
          <w:b/>
          <w:sz w:val="20"/>
          <w:szCs w:val="20"/>
        </w:rPr>
      </w:pPr>
      <w:r>
        <w:rPr>
          <w:b/>
          <w:sz w:val="20"/>
          <w:szCs w:val="20"/>
        </w:rPr>
      </w:r>
    </w:p>
    <w:p>
      <w:pPr>
        <w:pStyle w:val="Default"/>
        <w:jc w:val="both"/>
        <w:rPr>
          <w:rFonts w:ascii="Calibri" w:hAnsi="Calibri" w:asciiTheme="minorHAnsi" w:hAnsiTheme="minorHAnsi"/>
          <w:b/>
          <w:b/>
          <w:color w:val="auto"/>
          <w:sz w:val="20"/>
          <w:szCs w:val="20"/>
        </w:rPr>
      </w:pPr>
      <w:r>
        <w:rPr>
          <w:rFonts w:ascii="Calibri" w:hAnsi="Calibri" w:asciiTheme="minorHAnsi" w:hAnsiTheme="minorHAnsi"/>
          <w:b/>
          <w:color w:val="auto"/>
          <w:sz w:val="20"/>
          <w:szCs w:val="20"/>
        </w:rPr>
        <w:t>2.18. Además, todos los informes analizados en la Evaluación de impacto ambiental deberían haber sido conocidos por los ciudadanos en la participación pública y, sin embargo, no sólo no se hizo, sino que además se añadieron nuevos informes sobre los que nunca pudieron pronunciarse los ciudadanos.</w:t>
      </w:r>
    </w:p>
    <w:p>
      <w:pPr>
        <w:pStyle w:val="Default"/>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Default"/>
        <w:rPr>
          <w:rFonts w:ascii="Calibri" w:hAnsi="Calibri" w:cs="Courier New" w:asciiTheme="minorHAnsi" w:hAnsiTheme="minorHAnsi"/>
          <w:b/>
          <w:b/>
          <w:bCs/>
          <w:color w:val="auto"/>
          <w:sz w:val="20"/>
          <w:szCs w:val="20"/>
        </w:rPr>
      </w:pPr>
      <w:r>
        <w:rPr>
          <w:rFonts w:ascii="Calibri" w:hAnsi="Calibri" w:asciiTheme="minorHAnsi" w:hAnsiTheme="minorHAnsi"/>
          <w:b/>
          <w:color w:val="auto"/>
          <w:sz w:val="20"/>
          <w:szCs w:val="20"/>
        </w:rPr>
        <w:t xml:space="preserve">La Sentencia de 26 de mayo de 2023 del </w:t>
      </w:r>
      <w:r>
        <w:rPr>
          <w:rFonts w:cs="Courier New" w:ascii="Calibri" w:hAnsi="Calibri" w:asciiTheme="minorHAnsi" w:hAnsiTheme="minorHAnsi"/>
          <w:b/>
          <w:bCs/>
          <w:color w:val="auto"/>
          <w:sz w:val="20"/>
          <w:szCs w:val="20"/>
        </w:rPr>
        <w:t xml:space="preserve">T.S.X.GALICIA CON/AD SEC.3 A CORUÑA </w:t>
      </w:r>
      <w:r>
        <w:rPr>
          <w:rFonts w:cs="Courier New" w:ascii="Calibri" w:hAnsi="Calibri" w:asciiTheme="minorHAnsi" w:hAnsiTheme="minorHAnsi"/>
          <w:b/>
          <w:color w:val="auto"/>
          <w:sz w:val="20"/>
          <w:szCs w:val="20"/>
        </w:rPr>
        <w:t xml:space="preserve">Sentencia: 00171/2023 </w:t>
      </w:r>
      <w:r>
        <w:rPr>
          <w:rFonts w:cs="Courier New" w:ascii="Calibri" w:hAnsi="Calibri" w:asciiTheme="minorHAnsi" w:hAnsiTheme="minorHAnsi"/>
          <w:b/>
          <w:bCs/>
          <w:color w:val="auto"/>
          <w:sz w:val="20"/>
          <w:szCs w:val="20"/>
        </w:rPr>
        <w:t>Ponente: D. Juan Carlos Fernández López  Recurso: Procedimiento ordinario 7052/2022 señala:</w:t>
      </w:r>
    </w:p>
    <w:p>
      <w:pPr>
        <w:pStyle w:val="Default"/>
        <w:rPr>
          <w:rFonts w:ascii="Calibri" w:hAnsi="Calibri" w:cs="Courier New" w:asciiTheme="minorHAnsi" w:hAnsiTheme="minorHAnsi"/>
          <w:b/>
          <w:b/>
          <w:color w:val="auto"/>
          <w:sz w:val="8"/>
          <w:szCs w:val="8"/>
        </w:rPr>
      </w:pPr>
      <w:r>
        <w:rPr>
          <w:rFonts w:cs="Courier New" w:ascii="Calibri" w:hAnsi="Calibri"/>
          <w:b/>
          <w:color w:val="auto"/>
          <w:sz w:val="8"/>
          <w:szCs w:val="8"/>
        </w:rPr>
      </w:r>
    </w:p>
    <w:p>
      <w:pPr>
        <w:pStyle w:val="Normal"/>
        <w:spacing w:lineRule="auto" w:line="240" w:before="0" w:after="0"/>
        <w:ind w:left="708" w:hanging="0"/>
        <w:jc w:val="both"/>
        <w:rPr>
          <w:rFonts w:cs="Courier New"/>
          <w:b/>
          <w:b/>
          <w:i/>
          <w:i/>
          <w:sz w:val="20"/>
          <w:szCs w:val="20"/>
        </w:rPr>
      </w:pPr>
      <w:r>
        <w:rPr>
          <w:rFonts w:cs="Arial"/>
          <w:b/>
          <w:i/>
          <w:sz w:val="20"/>
          <w:szCs w:val="20"/>
        </w:rPr>
        <w:t>“</w:t>
      </w:r>
      <w:r>
        <w:rPr>
          <w:rFonts w:cs="Courier New"/>
          <w:b/>
          <w:i/>
          <w:sz w:val="20"/>
          <w:szCs w:val="20"/>
        </w:rPr>
        <w:t xml:space="preserve">En definitiva, el artículo 36.1 de la LEA impone que los informes sectoriales deban obtenerse antes del trámite de información pública, pues al respecto señala que “esta información pública se llevará a cabo en una fase del procedimiento sustantivo de autorización del proyecto en la que estén abiertas todas las opciones relativas a la determinación del contenido, la extensión y la definición del proyecto”, que es lo mismo que se establece en el artículo 6.3 de la Directiva 2011/92/UE, cuando, tras ordenar a los estados miembros que garanticen la puesta a disposición del público de “toda la información recogida en virtud del artículo 5” (la del anexo IV sobre las características del proyecto), añade en su apartado 4 que “el público interesado tendrá la posibilidad real de participar desde una fase temprana en los procedimientos de toma de decisiones ambientales”, a cuyo efecto “tendrá derecho a expresar observaciones y opiniones, cuando estén abiertas todas las opciones, a la autoridad o autoridades competentes antes de que se adopte una decisión sobre la solicitud de autorización del proyecto”. </w:t>
      </w:r>
    </w:p>
    <w:p>
      <w:pPr>
        <w:pStyle w:val="Normal"/>
        <w:spacing w:lineRule="auto" w:line="240" w:before="0" w:after="0"/>
        <w:ind w:left="708" w:hanging="0"/>
        <w:jc w:val="both"/>
        <w:rPr>
          <w:rFonts w:cs="Courier New"/>
          <w:b/>
          <w:b/>
          <w:i/>
          <w:i/>
          <w:sz w:val="20"/>
          <w:szCs w:val="20"/>
        </w:rPr>
      </w:pPr>
      <w:r>
        <w:rPr>
          <w:rFonts w:cs="Courier New"/>
          <w:b/>
          <w:i/>
          <w:sz w:val="20"/>
          <w:szCs w:val="20"/>
        </w:rPr>
        <w:t xml:space="preserve">Así pues, tanto la ley estatal, como la directiva citadas contenían un mandato claro en orden a conseguir los informes sectoriales antes de someter el proyecto y el estudio ambiental al trámite de información conjunto (cada uno por su plazo), de lo que resulta que como cuando se sometió el proyecto al último trámite de información pública (por un plazo de quince días), aún no se habían recibido todos los informes sectoriales, de ello resulta que quienes ya alegaron o quienes aún no lo habían hecho en el plazo otorgado, no pudieron ejercer de forma plena su derecho a participar de forma efectiva y con pleno conocimiento de todas “las opciones” que se presentaban, en un trámite que necesariamente tenía que realizarse “antes” de adoptar la decisión definitiva sobre el proyecto que se promovía. </w:t>
      </w:r>
    </w:p>
    <w:p>
      <w:pPr>
        <w:pStyle w:val="Normal"/>
        <w:spacing w:lineRule="auto" w:line="240" w:before="0" w:after="0"/>
        <w:ind w:left="708" w:hanging="0"/>
        <w:jc w:val="both"/>
        <w:rPr>
          <w:rFonts w:cs="Courier New"/>
          <w:b/>
          <w:b/>
          <w:i/>
          <w:i/>
          <w:sz w:val="20"/>
          <w:szCs w:val="20"/>
        </w:rPr>
      </w:pPr>
      <w:r>
        <w:rPr>
          <w:rFonts w:cs="Courier New"/>
          <w:b/>
          <w:i/>
          <w:sz w:val="20"/>
          <w:szCs w:val="20"/>
        </w:rPr>
        <w:t>Este defecto, unido al anterior ya analizado en este fundamento de derecho, merece la estimación del recurso y la anulación del acuerdo gubernativo impugnado”.</w:t>
      </w:r>
    </w:p>
    <w:p>
      <w:pPr>
        <w:pStyle w:val="Normal"/>
        <w:spacing w:lineRule="auto" w:line="240" w:before="0" w:after="0"/>
        <w:jc w:val="both"/>
        <w:rPr>
          <w:b/>
          <w:b/>
          <w:sz w:val="20"/>
          <w:szCs w:val="20"/>
        </w:rPr>
      </w:pPr>
      <w:r>
        <w:rPr>
          <w:b/>
          <w:sz w:val="20"/>
          <w:szCs w:val="20"/>
        </w:rPr>
      </w:r>
    </w:p>
    <w:p>
      <w:pPr>
        <w:pStyle w:val="Normal"/>
        <w:spacing w:lineRule="auto" w:line="240" w:before="0" w:after="0"/>
        <w:jc w:val="both"/>
        <w:rPr>
          <w:b/>
          <w:b/>
          <w:sz w:val="20"/>
          <w:szCs w:val="20"/>
          <w:u w:val="single"/>
        </w:rPr>
      </w:pPr>
      <w:r>
        <w:rPr>
          <w:b/>
          <w:sz w:val="20"/>
          <w:szCs w:val="20"/>
        </w:rPr>
        <w:t xml:space="preserve">3. </w:t>
      </w:r>
      <w:r>
        <w:rPr>
          <w:b/>
          <w:sz w:val="20"/>
          <w:szCs w:val="20"/>
          <w:u w:val="single"/>
        </w:rPr>
        <w:t>EL EXPEDIENTE EXPUESTO A INFORMACIÓN PÚBLICA NO CONTIENE NI ESTUDIO DE AVIFAUNA, NI ESTUDIO DE REPERCUSIONES A LA RED NATURA 2000 NI NINGÚN DOCUMENTO AMBIENTAL</w:t>
      </w:r>
    </w:p>
    <w:p>
      <w:pPr>
        <w:pStyle w:val="Normal"/>
        <w:spacing w:lineRule="auto" w:line="240" w:before="0" w:after="0"/>
        <w:jc w:val="both"/>
        <w:rPr>
          <w:b/>
          <w:b/>
          <w:sz w:val="8"/>
          <w:szCs w:val="8"/>
        </w:rPr>
      </w:pPr>
      <w:r>
        <w:rPr>
          <w:b/>
          <w:sz w:val="8"/>
          <w:szCs w:val="8"/>
        </w:rPr>
      </w:r>
    </w:p>
    <w:p>
      <w:pPr>
        <w:pStyle w:val="Default"/>
        <w:jc w:val="both"/>
        <w:rPr>
          <w:rFonts w:ascii="Calibri" w:hAnsi="Calibri" w:asciiTheme="minorHAnsi" w:hAnsiTheme="minorHAnsi"/>
          <w:b/>
          <w:b/>
          <w:color w:val="auto"/>
          <w:sz w:val="20"/>
          <w:szCs w:val="20"/>
        </w:rPr>
      </w:pPr>
      <w:r>
        <w:rPr>
          <w:rFonts w:ascii="Calibri" w:hAnsi="Calibri" w:asciiTheme="minorHAnsi" w:hAnsiTheme="minorHAnsi"/>
          <w:b/>
          <w:color w:val="auto"/>
          <w:sz w:val="20"/>
          <w:szCs w:val="20"/>
        </w:rPr>
        <w:t>En ningún momento se ha presentado un Estudio sobre la repercusión de esta nueva línea subterránea sobre el avifauna ni sobre la Red natura 2000.</w:t>
      </w:r>
    </w:p>
    <w:p>
      <w:pPr>
        <w:pStyle w:val="Normal"/>
        <w:spacing w:lineRule="auto" w:line="240" w:before="0" w:after="0"/>
        <w:jc w:val="both"/>
        <w:rPr>
          <w:rFonts w:cs="Calibri"/>
          <w:b/>
          <w:b/>
          <w:sz w:val="20"/>
          <w:szCs w:val="20"/>
          <w:u w:val="single"/>
        </w:rPr>
      </w:pPr>
      <w:r>
        <w:rPr>
          <w:rFonts w:cs="Calibri"/>
          <w:b/>
          <w:sz w:val="20"/>
          <w:szCs w:val="20"/>
          <w:u w:val="single"/>
        </w:rPr>
      </w:r>
    </w:p>
    <w:p>
      <w:pPr>
        <w:pStyle w:val="Normal"/>
        <w:shd w:val="clear" w:color="auto" w:fill="FFFFFF"/>
        <w:spacing w:lineRule="auto" w:line="240" w:before="0" w:after="0"/>
        <w:jc w:val="both"/>
        <w:rPr>
          <w:rFonts w:eastAsia="Times New Roman" w:cs="Segoe UI"/>
          <w:b/>
          <w:b/>
          <w:sz w:val="20"/>
          <w:szCs w:val="20"/>
          <w:lang w:eastAsia="es-ES"/>
        </w:rPr>
      </w:pPr>
      <w:r>
        <w:rPr>
          <w:rFonts w:eastAsia="Times New Roman" w:cs="Segoe UI"/>
          <w:b/>
          <w:sz w:val="20"/>
          <w:szCs w:val="20"/>
          <w:lang w:eastAsia="es-ES"/>
        </w:rPr>
        <w:t>3.1. Según lo dispuesto en el artículo 7 de la ley 21/2013, serán objeto de una evaluación de impacto ambiental ordinaria los siguientes proyectos:</w:t>
      </w:r>
    </w:p>
    <w:p>
      <w:pPr>
        <w:pStyle w:val="Normal"/>
        <w:shd w:val="clear" w:color="auto" w:fill="FFFFFF"/>
        <w:spacing w:lineRule="auto" w:line="240" w:before="0" w:after="0"/>
        <w:jc w:val="both"/>
        <w:rPr>
          <w:rFonts w:eastAsia="Times New Roman" w:cs="Segoe UI"/>
          <w:b/>
          <w:b/>
          <w:sz w:val="8"/>
          <w:szCs w:val="8"/>
          <w:lang w:eastAsia="es-ES"/>
        </w:rPr>
      </w:pPr>
      <w:r>
        <w:rPr>
          <w:rFonts w:eastAsia="Times New Roman" w:cs="Segoe UI"/>
          <w:b/>
          <w:sz w:val="8"/>
          <w:szCs w:val="8"/>
          <w:lang w:eastAsia="es-ES"/>
        </w:rPr>
      </w:r>
    </w:p>
    <w:p>
      <w:pPr>
        <w:pStyle w:val="Normal"/>
        <w:shd w:val="clear" w:color="auto" w:fill="FFFFFF"/>
        <w:spacing w:lineRule="auto" w:line="240" w:before="0" w:after="0"/>
        <w:ind w:left="720" w:hanging="0"/>
        <w:jc w:val="both"/>
        <w:rPr>
          <w:rFonts w:eastAsia="Times New Roman" w:cs="Segoe UI"/>
          <w:b/>
          <w:b/>
          <w:i/>
          <w:i/>
          <w:sz w:val="20"/>
          <w:szCs w:val="20"/>
          <w:lang w:eastAsia="es-ES"/>
        </w:rPr>
      </w:pPr>
      <w:r>
        <w:rPr>
          <w:rFonts w:eastAsia="Times New Roman" w:cs="Segoe UI"/>
          <w:b/>
          <w:i/>
          <w:sz w:val="20"/>
          <w:szCs w:val="20"/>
          <w:lang w:eastAsia="es-ES"/>
        </w:rPr>
        <w:t>“</w:t>
      </w:r>
      <w:r>
        <w:rPr>
          <w:rFonts w:eastAsia="Times New Roman" w:cs="Segoe UI"/>
          <w:b/>
          <w:i/>
          <w:sz w:val="20"/>
          <w:szCs w:val="20"/>
          <w:lang w:eastAsia="es-ES"/>
        </w:rPr>
        <w:t>a) Los comprendidos en el anexo I, así como los proyectos que, presentándose fraccionados, alcancen los umbrales del anexo I mediante la acumulación de las magnitudes o dimensiones de cada uno de los proyectos considerados.</w:t>
      </w:r>
    </w:p>
    <w:p>
      <w:pPr>
        <w:pStyle w:val="Normal"/>
        <w:shd w:val="clear" w:color="auto" w:fill="FFFFFF"/>
        <w:spacing w:lineRule="auto" w:line="240" w:before="0" w:after="0"/>
        <w:ind w:left="720" w:hanging="0"/>
        <w:jc w:val="both"/>
        <w:rPr>
          <w:rFonts w:eastAsia="Times New Roman" w:cs="Segoe UI"/>
          <w:b/>
          <w:b/>
          <w:i/>
          <w:i/>
          <w:sz w:val="20"/>
          <w:szCs w:val="20"/>
          <w:lang w:eastAsia="es-ES"/>
        </w:rPr>
      </w:pPr>
      <w:r>
        <w:rPr>
          <w:rFonts w:eastAsia="Times New Roman" w:cs="Segoe UI"/>
          <w:b/>
          <w:i/>
          <w:sz w:val="20"/>
          <w:szCs w:val="20"/>
          <w:lang w:eastAsia="es-ES"/>
        </w:rPr>
        <w:t>b) Los comprendidos en el anexo II, cuando así lo decida caso por caso el órgano ambiental, en el informe de impacto ambiental de acuerdo con los criterios del anexo III.</w:t>
      </w:r>
    </w:p>
    <w:p>
      <w:pPr>
        <w:pStyle w:val="Normal"/>
        <w:shd w:val="clear" w:color="auto" w:fill="FFFFFF"/>
        <w:spacing w:lineRule="auto" w:line="240" w:before="0" w:after="0"/>
        <w:ind w:left="720" w:hanging="0"/>
        <w:jc w:val="both"/>
        <w:rPr>
          <w:rFonts w:eastAsia="Times New Roman" w:cs="Segoe UI"/>
          <w:b/>
          <w:b/>
          <w:i/>
          <w:i/>
          <w:sz w:val="20"/>
          <w:szCs w:val="20"/>
          <w:lang w:eastAsia="es-ES"/>
        </w:rPr>
      </w:pPr>
      <w:r>
        <w:rPr>
          <w:rFonts w:eastAsia="Times New Roman" w:cs="Segoe UI"/>
          <w:b/>
          <w:i/>
          <w:sz w:val="20"/>
          <w:szCs w:val="20"/>
          <w:lang w:eastAsia="es-ES"/>
        </w:rPr>
        <w:t xml:space="preserve">c) </w:t>
      </w:r>
      <w:r>
        <w:rPr>
          <w:rFonts w:eastAsia="Times New Roman" w:cs="Segoe UI"/>
          <w:b/>
          <w:i/>
          <w:sz w:val="20"/>
          <w:szCs w:val="20"/>
          <w:u w:val="single"/>
          <w:lang w:eastAsia="es-ES"/>
        </w:rPr>
        <w:t>Cualquier modificación de las características</w:t>
      </w:r>
      <w:r>
        <w:rPr>
          <w:rFonts w:eastAsia="Times New Roman" w:cs="Segoe UI"/>
          <w:b/>
          <w:i/>
          <w:sz w:val="20"/>
          <w:szCs w:val="20"/>
          <w:lang w:eastAsia="es-ES"/>
        </w:rPr>
        <w:t xml:space="preserve"> de un proyecto consignado en el anexo I o en el anexo II, cuando dicha modificación cumple, por sí sola, los umbrales establecidos en el anexo I”.</w:t>
      </w:r>
    </w:p>
    <w:p>
      <w:pPr>
        <w:pStyle w:val="Normal"/>
        <w:spacing w:lineRule="auto" w:line="240" w:before="0" w:after="0"/>
        <w:jc w:val="both"/>
        <w:rPr>
          <w:b/>
          <w:b/>
          <w:sz w:val="20"/>
          <w:szCs w:val="20"/>
          <w:shd w:fill="FFFFFF" w:val="clear"/>
        </w:rPr>
      </w:pPr>
      <w:r>
        <w:rPr>
          <w:b/>
          <w:sz w:val="20"/>
          <w:szCs w:val="20"/>
          <w:shd w:fill="FFFFFF" w:val="clear"/>
        </w:rPr>
      </w:r>
    </w:p>
    <w:p>
      <w:pPr>
        <w:pStyle w:val="Normal"/>
        <w:spacing w:lineRule="auto" w:line="240" w:before="0" w:after="0"/>
        <w:jc w:val="both"/>
        <w:rPr>
          <w:b/>
          <w:b/>
          <w:sz w:val="20"/>
          <w:szCs w:val="20"/>
        </w:rPr>
      </w:pPr>
      <w:r>
        <w:rPr>
          <w:b/>
          <w:sz w:val="20"/>
          <w:szCs w:val="20"/>
        </w:rPr>
        <w:t xml:space="preserve">La evaluación de impacto ambiental es necesaria en relación a las nuevas instalaciones o a </w:t>
      </w:r>
      <w:r>
        <w:rPr>
          <w:b/>
          <w:sz w:val="20"/>
          <w:szCs w:val="20"/>
          <w:u w:val="single"/>
        </w:rPr>
        <w:t>modificaciones sustanciales</w:t>
      </w:r>
      <w:r>
        <w:rPr>
          <w:b/>
          <w:sz w:val="20"/>
          <w:szCs w:val="20"/>
        </w:rPr>
        <w:t xml:space="preserve"> de las ya existentes.</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Default"/>
        <w:jc w:val="both"/>
        <w:rPr>
          <w:rFonts w:ascii="Calibri" w:hAnsi="Calibri" w:asciiTheme="minorHAnsi" w:hAnsiTheme="minorHAnsi"/>
          <w:b/>
          <w:b/>
          <w:color w:val="auto"/>
          <w:sz w:val="20"/>
          <w:szCs w:val="20"/>
        </w:rPr>
      </w:pPr>
      <w:r>
        <w:rPr>
          <w:rFonts w:ascii="Calibri" w:hAnsi="Calibri" w:asciiTheme="minorHAnsi" w:hAnsiTheme="minorHAnsi"/>
          <w:b/>
          <w:color w:val="auto"/>
          <w:sz w:val="20"/>
          <w:szCs w:val="20"/>
        </w:rPr>
        <w:t xml:space="preserve">3.2. Es decir, </w:t>
      </w:r>
      <w:r>
        <w:rPr>
          <w:rFonts w:ascii="Calibri" w:hAnsi="Calibri" w:asciiTheme="minorHAnsi" w:hAnsiTheme="minorHAnsi"/>
          <w:b/>
          <w:color w:val="auto"/>
          <w:sz w:val="20"/>
          <w:szCs w:val="20"/>
          <w:u w:val="single"/>
        </w:rPr>
        <w:t>como la información pública no contiene el estudio de impacto ambiental consideramos que no se ajusta a la ley y debería repetirse conteniendo un nuevo estudio de impacto ambiental ajustado al proyecto modificado que se pretende autorizar</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Default"/>
        <w:jc w:val="both"/>
        <w:rPr>
          <w:rFonts w:ascii="Calibri" w:hAnsi="Calibri" w:asciiTheme="minorHAnsi" w:hAnsiTheme="minorHAnsi"/>
          <w:b/>
          <w:b/>
          <w:color w:val="auto"/>
          <w:sz w:val="20"/>
          <w:szCs w:val="20"/>
        </w:rPr>
      </w:pPr>
      <w:r>
        <w:rPr>
          <w:rFonts w:ascii="Calibri" w:hAnsi="Calibri" w:asciiTheme="minorHAnsi" w:hAnsiTheme="minorHAnsi"/>
          <w:b/>
          <w:color w:val="000000"/>
          <w:sz w:val="20"/>
          <w:szCs w:val="20"/>
          <w:shd w:fill="FFFFFF" w:val="clear"/>
        </w:rPr>
        <w:t xml:space="preserve">3.3. El artículo 35 </w:t>
      </w:r>
      <w:r>
        <w:rPr>
          <w:rFonts w:ascii="Calibri" w:hAnsi="Calibri" w:asciiTheme="minorHAnsi" w:hAnsiTheme="minorHAnsi"/>
          <w:b/>
          <w:color w:val="auto"/>
          <w:sz w:val="20"/>
          <w:szCs w:val="20"/>
        </w:rPr>
        <w:t>de la  Ley 21/2013, de 9 de diciembre, de Evaluación ambiental establece que:</w:t>
      </w:r>
    </w:p>
    <w:p>
      <w:pPr>
        <w:pStyle w:val="Default"/>
        <w:jc w:val="both"/>
        <w:rPr>
          <w:rFonts w:ascii="Calibri" w:hAnsi="Calibri" w:asciiTheme="minorHAnsi" w:hAnsiTheme="minorHAnsi"/>
          <w:b/>
          <w:b/>
          <w:color w:val="auto"/>
          <w:sz w:val="8"/>
          <w:szCs w:val="8"/>
        </w:rPr>
      </w:pPr>
      <w:r>
        <w:rPr>
          <w:rFonts w:asciiTheme="minorHAnsi" w:hAnsiTheme="minorHAnsi" w:ascii="Calibri" w:hAnsi="Calibri"/>
          <w:b/>
          <w:color w:val="auto"/>
          <w:sz w:val="8"/>
          <w:szCs w:val="8"/>
        </w:rPr>
      </w:r>
    </w:p>
    <w:p>
      <w:pPr>
        <w:pStyle w:val="Default"/>
        <w:ind w:left="708" w:hanging="0"/>
        <w:jc w:val="both"/>
        <w:rPr>
          <w:rFonts w:ascii="Calibri" w:hAnsi="Calibri" w:asciiTheme="minorHAnsi" w:hAnsiTheme="minorHAnsi"/>
          <w:b/>
          <w:b/>
          <w:i/>
          <w:i/>
          <w:color w:val="auto"/>
          <w:sz w:val="20"/>
          <w:szCs w:val="20"/>
        </w:rPr>
      </w:pPr>
      <w:r>
        <w:rPr>
          <w:rFonts w:ascii="Calibri" w:hAnsi="Calibri" w:asciiTheme="minorHAnsi" w:hAnsiTheme="minorHAnsi"/>
          <w:b/>
          <w:i/>
          <w:color w:val="auto"/>
          <w:sz w:val="20"/>
          <w:szCs w:val="20"/>
        </w:rPr>
        <w:t>“</w:t>
      </w:r>
      <w:r>
        <w:rPr>
          <w:rFonts w:ascii="Calibri" w:hAnsi="Calibri" w:asciiTheme="minorHAnsi" w:hAnsiTheme="minorHAnsi"/>
          <w:b/>
          <w:i/>
          <w:color w:val="000000"/>
          <w:sz w:val="20"/>
          <w:szCs w:val="20"/>
          <w:shd w:fill="FFFFFF" w:val="clear"/>
        </w:rPr>
        <w:t xml:space="preserve">(El estudio de impacto ambiental) incluirá </w:t>
      </w:r>
      <w:r>
        <w:rPr>
          <w:rFonts w:ascii="Calibri" w:hAnsi="Calibri" w:asciiTheme="minorHAnsi" w:hAnsiTheme="minorHAnsi"/>
          <w:b/>
          <w:i/>
          <w:color w:val="000000"/>
          <w:sz w:val="20"/>
          <w:szCs w:val="20"/>
          <w:u w:val="single"/>
          <w:shd w:fill="FFFFFF" w:val="clear"/>
        </w:rPr>
        <w:t>un apartado específico para la evaluación de las repercusiones del proyecto sobre espacios Red Natura 2000</w:t>
      </w:r>
      <w:r>
        <w:rPr>
          <w:rFonts w:ascii="Calibri" w:hAnsi="Calibri" w:asciiTheme="minorHAnsi" w:hAnsiTheme="minorHAnsi"/>
          <w:b/>
          <w:i/>
          <w:color w:val="000000"/>
          <w:sz w:val="20"/>
          <w:szCs w:val="20"/>
          <w:shd w:fill="FFFFFF" w:val="clear"/>
        </w:rPr>
        <w:t xml:space="preserve"> teniendo en cuenta los objetivos de conservación de cada lugar, que incluya los referidos impactos, las correspondientes medidas preventivas, correctoras y compensatorias Red Natura 2000 y su seguimiento”</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Normal"/>
        <w:spacing w:lineRule="auto" w:line="240" w:before="0" w:after="0"/>
        <w:jc w:val="both"/>
        <w:rPr>
          <w:rFonts w:cs="Avenir-Book"/>
          <w:b/>
          <w:b/>
          <w:sz w:val="20"/>
          <w:szCs w:val="20"/>
        </w:rPr>
      </w:pPr>
      <w:r>
        <w:rPr>
          <w:b/>
          <w:sz w:val="20"/>
          <w:szCs w:val="20"/>
        </w:rPr>
        <w:t xml:space="preserve">4. </w:t>
      </w:r>
      <w:r>
        <w:rPr>
          <w:rFonts w:cs="Avenir-Book"/>
          <w:b/>
          <w:sz w:val="20"/>
          <w:szCs w:val="20"/>
          <w:u w:val="single"/>
        </w:rPr>
        <w:t>OTORGAMIENTO DE LA AUTORIZACIÓN ADMINISTRATIVA PREVIA ANTES DE REUNIR LOS REQUISITOS NECESARIOS PARA DICHO OTORGAMIENTO</w:t>
      </w:r>
    </w:p>
    <w:p>
      <w:pPr>
        <w:pStyle w:val="Normal"/>
        <w:spacing w:lineRule="auto" w:line="240" w:before="0" w:after="0"/>
        <w:jc w:val="both"/>
        <w:rPr>
          <w:b/>
          <w:b/>
          <w:sz w:val="8"/>
          <w:szCs w:val="8"/>
          <w:u w:val="single"/>
        </w:rPr>
      </w:pPr>
      <w:r>
        <w:rPr>
          <w:b/>
          <w:sz w:val="8"/>
          <w:szCs w:val="8"/>
          <w:u w:val="single"/>
        </w:rPr>
      </w:r>
    </w:p>
    <w:p>
      <w:pPr>
        <w:pStyle w:val="Normal"/>
        <w:spacing w:lineRule="auto" w:line="240" w:before="0" w:after="0"/>
        <w:jc w:val="both"/>
        <w:rPr>
          <w:b/>
          <w:b/>
          <w:sz w:val="20"/>
          <w:szCs w:val="20"/>
          <w:u w:val="single"/>
        </w:rPr>
      </w:pPr>
      <w:r>
        <w:rPr>
          <w:b/>
          <w:sz w:val="20"/>
          <w:szCs w:val="20"/>
          <w:u w:val="single"/>
        </w:rPr>
        <w:t xml:space="preserve">LA RESOLUCIÓN QUE CONTIENE LA AUTORIZACIÓN ADMINISTRATIVA PREVIA SE DICTÓ EN FRAUDE DE LEY. </w:t>
      </w:r>
    </w:p>
    <w:p>
      <w:pPr>
        <w:pStyle w:val="Normal"/>
        <w:spacing w:lineRule="auto" w:line="240" w:before="0" w:after="0"/>
        <w:jc w:val="both"/>
        <w:rPr>
          <w:b/>
          <w:b/>
          <w:sz w:val="8"/>
          <w:szCs w:val="8"/>
        </w:rPr>
      </w:pPr>
      <w:r>
        <w:rPr>
          <w:b/>
          <w:sz w:val="8"/>
          <w:szCs w:val="8"/>
        </w:rPr>
      </w:r>
    </w:p>
    <w:p>
      <w:pPr>
        <w:pStyle w:val="Normal"/>
        <w:spacing w:lineRule="auto" w:line="240" w:before="0" w:after="0"/>
        <w:jc w:val="both"/>
        <w:rPr>
          <w:b/>
          <w:b/>
          <w:sz w:val="20"/>
          <w:szCs w:val="20"/>
        </w:rPr>
      </w:pPr>
      <w:r>
        <w:rPr>
          <w:b/>
          <w:sz w:val="20"/>
          <w:szCs w:val="20"/>
        </w:rPr>
        <w:t>4.1. Los promotores tenían que cumplir plazos estrictos de obtención de permisos para que sus proyectos continuasen y no perdieran su punto de conexión a la red eléctrica, lo que les obligaría a volver a la casilla de salida de un largo proceso burocrático que dura unos cinco años.</w:t>
      </w:r>
    </w:p>
    <w:p>
      <w:pPr>
        <w:pStyle w:val="Normal"/>
        <w:spacing w:lineRule="auto" w:line="240" w:before="0" w:after="0"/>
        <w:jc w:val="both"/>
        <w:rPr>
          <w:b/>
          <w:b/>
          <w:sz w:val="20"/>
          <w:szCs w:val="20"/>
        </w:rPr>
      </w:pPr>
      <w:r>
        <w:rPr>
          <w:b/>
          <w:sz w:val="20"/>
          <w:szCs w:val="20"/>
        </w:rPr>
      </w:r>
    </w:p>
    <w:p>
      <w:pPr>
        <w:pStyle w:val="Normal"/>
        <w:spacing w:lineRule="auto" w:line="240" w:before="0" w:after="0"/>
        <w:jc w:val="both"/>
        <w:rPr>
          <w:b/>
          <w:b/>
          <w:sz w:val="20"/>
          <w:szCs w:val="20"/>
        </w:rPr>
      </w:pPr>
      <w:r>
        <w:rPr>
          <w:b/>
          <w:sz w:val="20"/>
          <w:szCs w:val="20"/>
        </w:rPr>
        <w:t>De la misma manera que debían obtener la Declaración de impacto ambiental favorable antes del 25 de enero de 2023, debían obtener la autorización administrativa previa antes del 25 de abril de 2023 y deberán obtener la autorización administrativa de construcción antes del 25 de julio de 2023.</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Default"/>
        <w:jc w:val="both"/>
        <w:rPr>
          <w:rFonts w:ascii="Calibri" w:hAnsi="Calibri" w:asciiTheme="minorHAnsi" w:hAnsiTheme="minorHAnsi"/>
          <w:b/>
          <w:b/>
          <w:color w:val="auto"/>
          <w:sz w:val="20"/>
          <w:szCs w:val="20"/>
        </w:rPr>
      </w:pPr>
      <w:r>
        <w:rPr>
          <w:rFonts w:ascii="Calibri" w:hAnsi="Calibri" w:asciiTheme="minorHAnsi" w:hAnsiTheme="minorHAnsi"/>
          <w:b/>
          <w:color w:val="auto"/>
          <w:sz w:val="20"/>
          <w:szCs w:val="20"/>
        </w:rPr>
        <w:t>4.2. Pensamos que esa fue la razón por la que se han emitido las Resoluciones con las Autorizaciones Administrativas Previas de las centrales eólicas y fotovoltaicas del Maestrazgo el día 21 de abril. (Aunque tardaron tiempo en publicarse)</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Default"/>
        <w:jc w:val="both"/>
        <w:rPr>
          <w:rFonts w:ascii="Calibri" w:hAnsi="Calibri" w:asciiTheme="minorHAnsi" w:hAnsiTheme="minorHAnsi"/>
          <w:b/>
          <w:b/>
          <w:color w:val="auto"/>
          <w:sz w:val="20"/>
          <w:szCs w:val="20"/>
        </w:rPr>
      </w:pPr>
      <w:r>
        <w:rPr>
          <w:rFonts w:ascii="Calibri" w:hAnsi="Calibri" w:asciiTheme="minorHAnsi" w:hAnsiTheme="minorHAnsi"/>
          <w:b/>
          <w:color w:val="auto"/>
          <w:sz w:val="20"/>
          <w:szCs w:val="20"/>
        </w:rPr>
        <w:t xml:space="preserve">4.3. El 17 de mayo, se publicó en el BOE el </w:t>
      </w:r>
      <w:r>
        <w:rPr>
          <w:rFonts w:cs="Arimo" w:ascii="Calibri" w:hAnsi="Calibri" w:asciiTheme="minorHAnsi" w:hAnsiTheme="minorHAnsi"/>
          <w:b/>
          <w:i/>
          <w:iCs/>
          <w:color w:val="auto"/>
          <w:sz w:val="20"/>
          <w:szCs w:val="20"/>
        </w:rPr>
        <w:t>“Anuncio de la Dependencia del Área de Industria y Energía de la Subdelegación del Gobierno en Teruel por el que se somete a información pública LA SOLICITUD DE MODIFICACIÓN DE AUTORIZACIÓN ADMINISTRATIVA PREVIA Y SOLICITUD DE AUTORIZACIÓN ADMINISTRATIVA DE CONSTRUCCIÓN Y DECLARACIÓN, EN CONCRETO, DE UTILIDAD PÚBLICA de las centrales eólicas y fotovoltaicas”</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Default"/>
        <w:jc w:val="both"/>
        <w:rPr>
          <w:rFonts w:ascii="Calibri" w:hAnsi="Calibri" w:asciiTheme="minorHAnsi" w:hAnsiTheme="minorHAnsi"/>
          <w:b/>
          <w:b/>
          <w:color w:val="auto"/>
          <w:sz w:val="20"/>
          <w:szCs w:val="20"/>
        </w:rPr>
      </w:pPr>
      <w:r>
        <w:rPr>
          <w:rFonts w:ascii="Calibri" w:hAnsi="Calibri" w:asciiTheme="minorHAnsi" w:hAnsiTheme="minorHAnsi"/>
          <w:b/>
          <w:color w:val="auto"/>
          <w:sz w:val="20"/>
          <w:szCs w:val="20"/>
        </w:rPr>
        <w:t>Si vamos a los expedientes expuestos a información pública, nos encontramos con que se exponen a información pública NUEVOS PROYECTOS, conteniendo las modificaciones que se anunciaban en la Declaración de impacto ambiental (BOE de 23 de diciembre de 2023)</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Default"/>
        <w:jc w:val="both"/>
        <w:rPr>
          <w:rFonts w:ascii="Calibri" w:hAnsi="Calibri" w:asciiTheme="minorHAnsi" w:hAnsiTheme="minorHAnsi"/>
          <w:b/>
          <w:b/>
          <w:color w:val="auto"/>
          <w:sz w:val="20"/>
          <w:szCs w:val="20"/>
        </w:rPr>
      </w:pPr>
      <w:r>
        <w:rPr>
          <w:rFonts w:ascii="Calibri" w:hAnsi="Calibri" w:asciiTheme="minorHAnsi" w:hAnsiTheme="minorHAnsi"/>
          <w:b/>
          <w:color w:val="auto"/>
          <w:sz w:val="20"/>
          <w:szCs w:val="20"/>
        </w:rPr>
        <w:t xml:space="preserve">4.4. Así pues, no estamos ante una “Solicitud de modificación de autorización administrativa” sino ante una “SOLICITUD DE AUTORIZACIÓN ADMINISTRATIVA DE UN PROYECTO MODIFICADO”. </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Default"/>
        <w:jc w:val="both"/>
        <w:rPr>
          <w:rFonts w:ascii="Calibri" w:hAnsi="Calibri" w:asciiTheme="minorHAnsi" w:hAnsiTheme="minorHAnsi"/>
          <w:b/>
          <w:b/>
          <w:color w:val="auto"/>
          <w:sz w:val="20"/>
          <w:szCs w:val="20"/>
        </w:rPr>
      </w:pPr>
      <w:r>
        <w:rPr>
          <w:rFonts w:ascii="Calibri" w:hAnsi="Calibri" w:asciiTheme="minorHAnsi" w:hAnsiTheme="minorHAnsi"/>
          <w:b/>
          <w:color w:val="auto"/>
          <w:sz w:val="20"/>
          <w:szCs w:val="20"/>
        </w:rPr>
        <w:t>4.5. Este nuevo proyecto, al contener modificaciones sustanciales, en buena ley, debería ir acompañado de su correspondiente Estudio de impacto ambiental para que se efectuase una nueva Evaluación de impacto ambiental, lo cual se ha omitido, dando por hecho que la Declaración de impacto ambiental formulada en diciembre de 2022 sobre el proyecto sin modificar era compatible para el proyecto modificado.</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Default"/>
        <w:jc w:val="both"/>
        <w:rPr>
          <w:rFonts w:ascii="Calibri" w:hAnsi="Calibri" w:asciiTheme="minorHAnsi" w:hAnsiTheme="minorHAnsi"/>
          <w:b/>
          <w:b/>
          <w:color w:val="auto"/>
          <w:sz w:val="20"/>
          <w:szCs w:val="20"/>
        </w:rPr>
      </w:pPr>
      <w:r>
        <w:rPr>
          <w:rFonts w:ascii="Calibri" w:hAnsi="Calibri" w:asciiTheme="minorHAnsi" w:hAnsiTheme="minorHAnsi"/>
          <w:b/>
          <w:color w:val="auto"/>
          <w:sz w:val="20"/>
          <w:szCs w:val="20"/>
        </w:rPr>
        <w:t>4.6. Sin embargo, si la Administración se hubiese limitado a “Solicitar la autorización administrativa del nuevo proyecto” (aun eludiendo la obligación legal de nueva evaluación ambiental), como tenían que transcurrir los treinta días hábiles de la exposición a información pública, ya no podría haber emitido la Resolución conteniendo la “Autorización administrativa previa del proyecto modificado” antes del 25 de abril.</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Default"/>
        <w:jc w:val="both"/>
        <w:rPr>
          <w:rFonts w:ascii="Calibri" w:hAnsi="Calibri" w:asciiTheme="minorHAnsi" w:hAnsiTheme="minorHAnsi"/>
          <w:b/>
          <w:b/>
          <w:color w:val="auto"/>
          <w:sz w:val="20"/>
          <w:szCs w:val="20"/>
        </w:rPr>
      </w:pPr>
      <w:r>
        <w:rPr>
          <w:rFonts w:ascii="Calibri" w:hAnsi="Calibri" w:asciiTheme="minorHAnsi" w:hAnsiTheme="minorHAnsi"/>
          <w:b/>
          <w:color w:val="auto"/>
          <w:sz w:val="20"/>
          <w:szCs w:val="20"/>
        </w:rPr>
        <w:t>Así pues, se emitieron las Resoluciones con las Autorizaciones administrativas previas el 21 de abril, a sabiendas de su ilegalidad, conociendo que el proyecto que obtenía la autorización administrativa previa era un proyecto distinto del que se tenía que aprobar, ya que tenía que exponerse de nuevo a información pública puesto que los cambios en dicho proyecto se trataban de modificaciones sustanciales.</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Default"/>
        <w:jc w:val="both"/>
        <w:rPr>
          <w:rFonts w:ascii="Calibri" w:hAnsi="Calibri" w:cs="Arimo" w:asciiTheme="minorHAnsi" w:hAnsiTheme="minorHAnsi"/>
          <w:b/>
          <w:b/>
          <w:i/>
          <w:i/>
          <w:iCs/>
          <w:color w:val="auto"/>
          <w:sz w:val="20"/>
          <w:szCs w:val="20"/>
        </w:rPr>
      </w:pPr>
      <w:r>
        <w:rPr>
          <w:rFonts w:ascii="Calibri" w:hAnsi="Calibri" w:asciiTheme="minorHAnsi" w:hAnsiTheme="minorHAnsi"/>
          <w:b/>
          <w:color w:val="auto"/>
          <w:sz w:val="20"/>
          <w:szCs w:val="20"/>
        </w:rPr>
        <w:t xml:space="preserve">Por tanto, con objeto de no perjudicar al promotor, no se ha dudado en emitir dichas Resoluciones antes del 25 de abril para que no se extinguiera el plazo para conservar su punto de conexión a la red eléctrica y, como una vez formulada la Resolución de Autorización administrativa previa, ya no se podía autorizar posteriormente la modificación del proyecto, la Administración ha optado por enmascarar la modificación del proyecto tramitándola como una </w:t>
      </w:r>
      <w:r>
        <w:rPr>
          <w:rFonts w:cs="Arimo" w:ascii="Calibri" w:hAnsi="Calibri" w:asciiTheme="minorHAnsi" w:hAnsiTheme="minorHAnsi"/>
          <w:b/>
          <w:iCs/>
          <w:color w:val="auto"/>
          <w:sz w:val="20"/>
          <w:szCs w:val="20"/>
        </w:rPr>
        <w:t>SOLICITUD DE MODIFICACIÓN DE AUTORIZACIÓN ADMINISTRATIVA PREVIA, a sabiendas que lo que se está modificando no es la Autorización sino el proyecto.</w:t>
      </w:r>
    </w:p>
    <w:p>
      <w:pPr>
        <w:pStyle w:val="Default"/>
        <w:jc w:val="both"/>
        <w:rPr>
          <w:rFonts w:ascii="Calibri" w:hAnsi="Calibri" w:cs="Arimo" w:asciiTheme="minorHAnsi" w:hAnsiTheme="minorHAnsi"/>
          <w:b/>
          <w:b/>
          <w:i/>
          <w:i/>
          <w:iCs/>
          <w:color w:val="auto"/>
          <w:sz w:val="20"/>
          <w:szCs w:val="20"/>
        </w:rPr>
      </w:pPr>
      <w:r>
        <w:rPr>
          <w:rFonts w:cs="Arimo" w:ascii="Calibri" w:hAnsi="Calibri"/>
          <w:b/>
          <w:i/>
          <w:iCs/>
          <w:color w:val="auto"/>
          <w:sz w:val="20"/>
          <w:szCs w:val="20"/>
        </w:rPr>
      </w:r>
    </w:p>
    <w:p>
      <w:pPr>
        <w:pStyle w:val="Normal"/>
        <w:spacing w:lineRule="auto" w:line="240" w:before="0" w:after="0"/>
        <w:jc w:val="both"/>
        <w:rPr>
          <w:rFonts w:cs="Arial"/>
          <w:b/>
          <w:b/>
          <w:i/>
          <w:i/>
          <w:sz w:val="20"/>
          <w:szCs w:val="20"/>
        </w:rPr>
      </w:pPr>
      <w:r>
        <w:rPr>
          <w:rFonts w:cs="Arimo"/>
          <w:b/>
          <w:iCs/>
          <w:sz w:val="20"/>
          <w:szCs w:val="20"/>
        </w:rPr>
        <w:t>4.7. Consideramos que nos encontramos ante un evidente fraude de ley, “</w:t>
      </w:r>
      <w:r>
        <w:rPr>
          <w:rFonts w:cs="Arial"/>
          <w:b/>
          <w:i/>
          <w:sz w:val="20"/>
          <w:szCs w:val="20"/>
        </w:rPr>
        <w:t xml:space="preserve">ya que el acto administrativo persigue un resultado prohibido por el ordenamiento”, </w:t>
      </w:r>
      <w:r>
        <w:rPr>
          <w:rFonts w:cs="Arial"/>
          <w:b/>
          <w:sz w:val="20"/>
          <w:szCs w:val="20"/>
        </w:rPr>
        <w:t>lo que conllevaría la anulación de este acto administrativo.</w:t>
      </w:r>
    </w:p>
    <w:p>
      <w:pPr>
        <w:pStyle w:val="Normal"/>
        <w:spacing w:lineRule="auto" w:line="240" w:before="0" w:after="0"/>
        <w:jc w:val="both"/>
        <w:rPr>
          <w:b/>
          <w:b/>
          <w:sz w:val="20"/>
          <w:szCs w:val="20"/>
        </w:rPr>
      </w:pPr>
      <w:r>
        <w:rPr>
          <w:b/>
          <w:sz w:val="20"/>
          <w:szCs w:val="20"/>
        </w:rPr>
      </w:r>
    </w:p>
    <w:p>
      <w:pPr>
        <w:pStyle w:val="Normal"/>
        <w:spacing w:lineRule="auto" w:line="240" w:before="0" w:after="0"/>
        <w:jc w:val="both"/>
        <w:rPr>
          <w:b/>
          <w:b/>
          <w:sz w:val="20"/>
          <w:szCs w:val="20"/>
        </w:rPr>
      </w:pPr>
      <w:r>
        <w:rPr>
          <w:rFonts w:cs="Arial"/>
          <w:b/>
          <w:sz w:val="20"/>
          <w:szCs w:val="20"/>
        </w:rPr>
        <w:t>5</w:t>
      </w:r>
      <w:r>
        <w:rPr>
          <w:b/>
          <w:sz w:val="20"/>
          <w:szCs w:val="20"/>
        </w:rPr>
        <w:t xml:space="preserve">. </w:t>
      </w:r>
      <w:r>
        <w:rPr>
          <w:b/>
          <w:sz w:val="20"/>
          <w:szCs w:val="20"/>
          <w:u w:val="single"/>
        </w:rPr>
        <w:t>FRACCIONAMIENTO DEL EXPEDIENTE PARA LUEGO VOLVERLO A UNIR</w:t>
      </w:r>
    </w:p>
    <w:p>
      <w:pPr>
        <w:pStyle w:val="Default"/>
        <w:jc w:val="both"/>
        <w:rPr>
          <w:rFonts w:ascii="Calibri" w:hAnsi="Calibri" w:asciiTheme="minorHAnsi" w:hAnsiTheme="minorHAnsi"/>
          <w:b/>
          <w:b/>
          <w:color w:val="auto"/>
          <w:sz w:val="8"/>
          <w:szCs w:val="8"/>
          <w:u w:val="single"/>
        </w:rPr>
      </w:pPr>
      <w:r>
        <w:rPr>
          <w:rFonts w:asciiTheme="minorHAnsi" w:hAnsiTheme="minorHAnsi" w:ascii="Calibri" w:hAnsi="Calibri"/>
          <w:b/>
          <w:color w:val="auto"/>
          <w:sz w:val="8"/>
          <w:szCs w:val="8"/>
          <w:u w:val="single"/>
        </w:rPr>
      </w:r>
    </w:p>
    <w:p>
      <w:pPr>
        <w:pStyle w:val="Default"/>
        <w:jc w:val="both"/>
        <w:rPr>
          <w:rFonts w:ascii="Calibri" w:hAnsi="Calibri" w:asciiTheme="minorHAnsi" w:hAnsiTheme="minorHAnsi"/>
          <w:b/>
          <w:b/>
          <w:color w:val="auto"/>
          <w:sz w:val="20"/>
          <w:szCs w:val="20"/>
          <w:u w:val="single"/>
        </w:rPr>
      </w:pPr>
      <w:r>
        <w:rPr>
          <w:rFonts w:ascii="Calibri" w:hAnsi="Calibri" w:asciiTheme="minorHAnsi" w:hAnsiTheme="minorHAnsi"/>
          <w:b/>
          <w:color w:val="auto"/>
          <w:sz w:val="20"/>
          <w:szCs w:val="20"/>
        </w:rPr>
        <w:t xml:space="preserve">5.1. </w:t>
      </w:r>
      <w:r>
        <w:rPr>
          <w:rFonts w:ascii="Calibri" w:hAnsi="Calibri" w:asciiTheme="minorHAnsi" w:hAnsiTheme="minorHAnsi"/>
          <w:b/>
          <w:color w:val="auto"/>
          <w:sz w:val="20"/>
          <w:szCs w:val="20"/>
          <w:u w:val="single"/>
        </w:rPr>
        <w:t xml:space="preserve">SE EMITE RESOLUCIÓN CON LA AUTORIZACIÓN ADMINISTRATIVA PREVIA EXCLUSIVAMENTE PARA </w:t>
      </w:r>
      <w:r>
        <w:rPr>
          <w:rFonts w:cs="Arimo" w:ascii="Calibri" w:hAnsi="Calibri" w:asciiTheme="minorHAnsi" w:hAnsiTheme="minorHAnsi"/>
          <w:b/>
          <w:iCs/>
          <w:color w:val="auto"/>
          <w:sz w:val="20"/>
          <w:szCs w:val="20"/>
          <w:u w:val="single"/>
        </w:rPr>
        <w:t>LAS INSTALACIONES EÓLICAS UNA A UNA, CUANDO DICHAS INSTALACIONES NUNCA HABÍAN SIDO TRAMITADAS COMO UN PROYECTO INDEPENDIENTE</w:t>
      </w:r>
    </w:p>
    <w:p>
      <w:pPr>
        <w:pStyle w:val="Default"/>
        <w:rPr>
          <w:rFonts w:ascii="Calibri" w:hAnsi="Calibri" w:asciiTheme="minorHAnsi" w:hAnsiTheme="minorHAnsi"/>
          <w:color w:val="auto"/>
          <w:sz w:val="8"/>
          <w:szCs w:val="8"/>
        </w:rPr>
      </w:pPr>
      <w:r>
        <w:rPr>
          <w:rFonts w:asciiTheme="minorHAnsi" w:hAnsiTheme="minorHAnsi" w:ascii="Calibri" w:hAnsi="Calibri"/>
          <w:color w:val="auto"/>
          <w:sz w:val="8"/>
          <w:szCs w:val="8"/>
        </w:rPr>
      </w:r>
    </w:p>
    <w:p>
      <w:pPr>
        <w:pStyle w:val="Default"/>
        <w:jc w:val="both"/>
        <w:rPr>
          <w:color w:val="auto"/>
        </w:rPr>
      </w:pPr>
      <w:r>
        <w:rPr>
          <w:rFonts w:ascii="Calibri" w:hAnsi="Calibri" w:asciiTheme="minorHAnsi" w:hAnsiTheme="minorHAnsi"/>
          <w:b/>
          <w:color w:val="auto"/>
          <w:sz w:val="20"/>
          <w:szCs w:val="20"/>
        </w:rPr>
        <w:t>5.1.1. La información pública se hizo del</w:t>
      </w:r>
      <w:r>
        <w:rPr>
          <w:color w:val="auto"/>
        </w:rPr>
        <w:t xml:space="preserve"> </w:t>
      </w:r>
      <w:r>
        <w:rPr>
          <w:rFonts w:ascii="Calibri" w:hAnsi="Calibri" w:asciiTheme="minorHAnsi" w:hAnsiTheme="minorHAnsi"/>
          <w:b/>
          <w:iCs/>
          <w:color w:val="auto"/>
          <w:sz w:val="20"/>
          <w:szCs w:val="20"/>
        </w:rPr>
        <w:t xml:space="preserve">"Clúster Maestrazgo_PEOL-449 AC")", que abarcaba conjuntamente </w:t>
      </w:r>
      <w:r>
        <w:rPr>
          <w:rFonts w:ascii="Calibri" w:hAnsi="Calibri" w:asciiTheme="minorHAnsi" w:hAnsiTheme="minorHAnsi"/>
          <w:b/>
          <w:color w:val="auto"/>
          <w:sz w:val="20"/>
          <w:szCs w:val="20"/>
        </w:rPr>
        <w:t>las instalaciones de todos los parques fotovoltaicos</w:t>
      </w:r>
    </w:p>
    <w:p>
      <w:pPr>
        <w:pStyle w:val="Default"/>
        <w:rPr>
          <w:rFonts w:ascii="Calibri" w:hAnsi="Calibri" w:asciiTheme="minorHAnsi" w:hAnsiTheme="minorHAnsi"/>
          <w:color w:val="auto"/>
          <w:sz w:val="20"/>
          <w:szCs w:val="20"/>
        </w:rPr>
      </w:pPr>
      <w:r>
        <w:rPr>
          <w:rFonts w:asciiTheme="minorHAnsi" w:hAnsiTheme="minorHAnsi" w:ascii="Calibri" w:hAnsi="Calibri"/>
          <w:color w:val="auto"/>
          <w:sz w:val="20"/>
          <w:szCs w:val="20"/>
        </w:rPr>
      </w:r>
    </w:p>
    <w:p>
      <w:pPr>
        <w:pStyle w:val="Default"/>
        <w:jc w:val="both"/>
        <w:rPr>
          <w:rFonts w:ascii="Calibri" w:hAnsi="Calibri" w:asciiTheme="minorHAnsi" w:hAnsiTheme="minorHAnsi"/>
          <w:b/>
          <w:b/>
          <w:color w:val="auto"/>
          <w:sz w:val="20"/>
          <w:szCs w:val="20"/>
        </w:rPr>
      </w:pPr>
      <w:r>
        <w:rPr>
          <w:rFonts w:ascii="Calibri" w:hAnsi="Calibri" w:asciiTheme="minorHAnsi" w:hAnsiTheme="minorHAnsi"/>
          <w:b/>
          <w:color w:val="auto"/>
          <w:sz w:val="20"/>
          <w:szCs w:val="20"/>
        </w:rPr>
        <w:t>En el BOE nº 53 de 3 de marzo de 2021 se publicó el:</w:t>
      </w:r>
    </w:p>
    <w:p>
      <w:pPr>
        <w:pStyle w:val="Default"/>
        <w:jc w:val="both"/>
        <w:rPr>
          <w:rFonts w:ascii="Calibri" w:hAnsi="Calibri" w:asciiTheme="minorHAnsi" w:hAnsiTheme="minorHAnsi"/>
          <w:b/>
          <w:b/>
          <w:color w:val="auto"/>
          <w:sz w:val="8"/>
          <w:szCs w:val="8"/>
        </w:rPr>
      </w:pPr>
      <w:r>
        <w:rPr>
          <w:rFonts w:asciiTheme="minorHAnsi" w:hAnsiTheme="minorHAnsi" w:ascii="Calibri" w:hAnsi="Calibri"/>
          <w:b/>
          <w:color w:val="auto"/>
          <w:sz w:val="8"/>
          <w:szCs w:val="8"/>
        </w:rPr>
      </w:r>
    </w:p>
    <w:p>
      <w:pPr>
        <w:pStyle w:val="Default"/>
        <w:ind w:left="708" w:hanging="0"/>
        <w:jc w:val="both"/>
        <w:rPr>
          <w:rFonts w:ascii="Calibri" w:hAnsi="Calibri" w:asciiTheme="minorHAnsi" w:hAnsiTheme="minorHAnsi"/>
          <w:b/>
          <w:b/>
          <w:color w:val="auto"/>
        </w:rPr>
      </w:pPr>
      <w:r>
        <w:rPr>
          <w:rFonts w:ascii="Calibri" w:hAnsi="Calibri" w:asciiTheme="minorHAnsi" w:hAnsiTheme="minorHAnsi"/>
          <w:b/>
          <w:i/>
          <w:iCs/>
          <w:color w:val="auto"/>
          <w:sz w:val="20"/>
          <w:szCs w:val="20"/>
        </w:rPr>
        <w:t>“</w:t>
      </w:r>
      <w:r>
        <w:rPr>
          <w:rFonts w:ascii="Calibri" w:hAnsi="Calibri" w:asciiTheme="minorHAnsi" w:hAnsiTheme="minorHAnsi"/>
          <w:b/>
          <w:i/>
          <w:iCs/>
          <w:color w:val="auto"/>
          <w:sz w:val="20"/>
          <w:szCs w:val="20"/>
        </w:rPr>
        <w:t>Anuncio de la Dependencia del Área de Industria y Energía de la Subdelegación del Gobierno en Teruel por el que se somete a Información Pública el Estudio de Impacto Ambiental y la Solicitud de Autorización Administrativa Previa del conjunto de parques eólicos denominado "Clúster Maestrazgo_PEOL-449 AC" (que comprende un total de 22 Proyectos de Parques Eólicos)”.</w:t>
      </w:r>
    </w:p>
    <w:p>
      <w:pPr>
        <w:pStyle w:val="Default"/>
        <w:jc w:val="both"/>
        <w:rPr>
          <w:rFonts w:ascii="Calibri" w:hAnsi="Calibri" w:asciiTheme="minorHAnsi" w:hAnsiTheme="minorHAnsi"/>
          <w:b/>
          <w:b/>
          <w:i/>
          <w:i/>
          <w:iCs/>
          <w:color w:val="auto"/>
          <w:sz w:val="20"/>
          <w:szCs w:val="20"/>
        </w:rPr>
      </w:pPr>
      <w:r>
        <w:rPr>
          <w:rFonts w:asciiTheme="minorHAnsi" w:hAnsiTheme="minorHAnsi" w:ascii="Calibri" w:hAnsi="Calibri"/>
          <w:b/>
          <w:i/>
          <w:iCs/>
          <w:color w:val="auto"/>
          <w:sz w:val="20"/>
          <w:szCs w:val="20"/>
        </w:rPr>
      </w:r>
    </w:p>
    <w:p>
      <w:pPr>
        <w:pStyle w:val="Default"/>
        <w:jc w:val="both"/>
        <w:rPr>
          <w:rFonts w:ascii="Calibri" w:hAnsi="Calibri" w:asciiTheme="minorHAnsi" w:hAnsiTheme="minorHAnsi"/>
          <w:b/>
          <w:b/>
          <w:iCs/>
          <w:color w:val="auto"/>
          <w:sz w:val="20"/>
          <w:szCs w:val="20"/>
        </w:rPr>
      </w:pPr>
      <w:r>
        <w:rPr>
          <w:rFonts w:ascii="Calibri" w:hAnsi="Calibri" w:asciiTheme="minorHAnsi" w:hAnsiTheme="minorHAnsi"/>
          <w:b/>
          <w:iCs/>
          <w:color w:val="auto"/>
          <w:sz w:val="20"/>
          <w:szCs w:val="20"/>
        </w:rPr>
        <w:t xml:space="preserve">5.1.2. La evaluación de impacto ambiental también se hizo conjuntamente. </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Default"/>
        <w:jc w:val="both"/>
        <w:rPr>
          <w:rFonts w:ascii="Calibri" w:hAnsi="Calibri" w:asciiTheme="minorHAnsi" w:hAnsiTheme="minorHAnsi"/>
          <w:b/>
          <w:b/>
          <w:color w:val="auto"/>
          <w:sz w:val="20"/>
          <w:szCs w:val="20"/>
        </w:rPr>
      </w:pPr>
      <w:r>
        <w:rPr>
          <w:rFonts w:ascii="Calibri" w:hAnsi="Calibri" w:asciiTheme="minorHAnsi" w:hAnsiTheme="minorHAnsi"/>
          <w:b/>
          <w:color w:val="auto"/>
          <w:sz w:val="20"/>
          <w:szCs w:val="20"/>
        </w:rPr>
        <w:t>El artículo 5.2.d. de la Ley 21/2013, de 9 de diciembre, de evaluación ambiental define “Declaración de impacto ambiental” como:</w:t>
      </w:r>
    </w:p>
    <w:p>
      <w:pPr>
        <w:pStyle w:val="Default"/>
        <w:jc w:val="both"/>
        <w:rPr>
          <w:rFonts w:ascii="Calibri" w:hAnsi="Calibri" w:asciiTheme="minorHAnsi" w:hAnsiTheme="minorHAnsi"/>
          <w:b/>
          <w:b/>
          <w:color w:val="auto"/>
          <w:sz w:val="8"/>
          <w:szCs w:val="8"/>
        </w:rPr>
      </w:pPr>
      <w:r>
        <w:rPr>
          <w:rFonts w:asciiTheme="minorHAnsi" w:hAnsiTheme="minorHAnsi" w:ascii="Calibri" w:hAnsi="Calibri"/>
          <w:b/>
          <w:color w:val="auto"/>
          <w:sz w:val="8"/>
          <w:szCs w:val="8"/>
        </w:rPr>
      </w:r>
    </w:p>
    <w:p>
      <w:pPr>
        <w:pStyle w:val="Default"/>
        <w:ind w:left="708" w:hanging="0"/>
        <w:jc w:val="both"/>
        <w:rPr>
          <w:rFonts w:ascii="Calibri" w:hAnsi="Calibri" w:asciiTheme="minorHAnsi" w:hAnsiTheme="minorHAnsi"/>
          <w:b/>
          <w:b/>
          <w:i/>
          <w:i/>
          <w:color w:val="auto"/>
          <w:sz w:val="20"/>
          <w:szCs w:val="20"/>
          <w:shd w:fill="FFFFFF" w:val="clear"/>
        </w:rPr>
      </w:pPr>
      <w:r>
        <w:rPr>
          <w:rFonts w:ascii="Calibri" w:hAnsi="Calibri" w:asciiTheme="minorHAnsi" w:hAnsiTheme="minorHAnsi"/>
          <w:b/>
          <w:i/>
          <w:color w:val="000000"/>
          <w:sz w:val="20"/>
          <w:szCs w:val="20"/>
          <w:shd w:fill="FFFFFF" w:val="clear"/>
        </w:rPr>
        <w:t>“</w:t>
      </w:r>
      <w:r>
        <w:rPr>
          <w:rFonts w:ascii="Calibri" w:hAnsi="Calibri" w:asciiTheme="minorHAnsi" w:hAnsiTheme="minorHAnsi"/>
          <w:b/>
          <w:i/>
          <w:color w:val="000000"/>
          <w:sz w:val="20"/>
          <w:szCs w:val="20"/>
          <w:shd w:fill="FFFFFF" w:val="clear"/>
        </w:rPr>
        <w:t>el Informe preceptivo y determinante del órgano ambiental con el que finaliza la evaluación de impacto ambiental ordinaria, que evalúa la integración de los aspectos ambientales EN EL PROYECTO y determina las condiciones que deben establecerse para la adecuada protección del medio ambiente y de los recursos naturales durante la ejecución y la explotación y, en su caso, el cese, el desmantelamiento o demolición del proyecto”.</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Ttulo3"/>
        <w:shd w:val="clear" w:color="auto" w:fill="FFFFFF"/>
        <w:spacing w:lineRule="auto" w:line="240" w:before="0" w:after="0"/>
        <w:jc w:val="both"/>
        <w:rPr>
          <w:rFonts w:ascii="Calibri" w:hAnsi="Calibri" w:asciiTheme="minorHAnsi" w:hAnsiTheme="minorHAnsi"/>
          <w:color w:val="auto"/>
          <w:sz w:val="20"/>
          <w:szCs w:val="20"/>
        </w:rPr>
      </w:pPr>
      <w:r>
        <w:rPr>
          <w:rFonts w:ascii="Calibri" w:hAnsi="Calibri" w:asciiTheme="minorHAnsi" w:hAnsiTheme="minorHAnsi"/>
          <w:color w:val="auto"/>
          <w:sz w:val="20"/>
          <w:szCs w:val="20"/>
        </w:rPr>
        <w:t>5.1.3. El Procedimiento de evaluación de impacto ambiental ordinaria para la formulación de la declaración de impacto ambiental viene descrito en el artículo 33 de la Ley 21/2013, de 9 de diciembre, de evaluación ambiental:</w:t>
      </w:r>
    </w:p>
    <w:p>
      <w:pPr>
        <w:pStyle w:val="A"/>
        <w:shd w:val="clear" w:color="auto" w:fill="FFFFFF"/>
        <w:spacing w:beforeAutospacing="0" w:before="0" w:afterAutospacing="0" w:after="0"/>
        <w:rPr>
          <w:rStyle w:val="Destacado"/>
          <w:rFonts w:ascii="Calibri" w:hAnsi="Calibri" w:asciiTheme="minorHAnsi" w:hAnsiTheme="minorHAnsi"/>
          <w:b/>
          <w:b/>
          <w:bCs/>
          <w:i w:val="false"/>
          <w:i w:val="false"/>
          <w:iCs w:val="false"/>
          <w:sz w:val="8"/>
          <w:szCs w:val="8"/>
        </w:rPr>
      </w:pPr>
      <w:r>
        <w:rPr>
          <w:rFonts w:asciiTheme="minorHAnsi" w:hAnsiTheme="minorHAnsi" w:ascii="Calibri" w:hAnsi="Calibri"/>
          <w:b/>
          <w:bCs/>
          <w:i w:val="false"/>
          <w:iCs w:val="false"/>
          <w:sz w:val="8"/>
          <w:szCs w:val="8"/>
        </w:rPr>
      </w:r>
    </w:p>
    <w:p>
      <w:pPr>
        <w:pStyle w:val="A"/>
        <w:shd w:val="clear" w:color="auto" w:fill="FFFFFF"/>
        <w:spacing w:beforeAutospacing="0" w:before="0" w:afterAutospacing="0" w:after="0"/>
        <w:ind w:left="708" w:hanging="0"/>
        <w:jc w:val="both"/>
        <w:rPr>
          <w:rFonts w:ascii="Calibri" w:hAnsi="Calibri" w:asciiTheme="minorHAnsi" w:hAnsiTheme="minorHAnsi"/>
          <w:b/>
          <w:b/>
          <w:bCs/>
          <w:i/>
          <w:i/>
          <w:sz w:val="20"/>
          <w:szCs w:val="20"/>
        </w:rPr>
      </w:pPr>
      <w:r>
        <w:rPr>
          <w:rStyle w:val="Destacado"/>
          <w:rFonts w:ascii="Calibri" w:hAnsi="Calibri" w:asciiTheme="minorHAnsi" w:hAnsiTheme="minorHAnsi"/>
          <w:b/>
          <w:bCs/>
          <w:sz w:val="20"/>
          <w:szCs w:val="20"/>
        </w:rPr>
        <w:t>“</w:t>
      </w:r>
      <w:r>
        <w:rPr>
          <w:rFonts w:ascii="Calibri" w:hAnsi="Calibri" w:asciiTheme="minorHAnsi" w:hAnsiTheme="minorHAnsi"/>
          <w:b/>
          <w:bCs/>
          <w:i/>
          <w:sz w:val="20"/>
          <w:szCs w:val="20"/>
        </w:rPr>
        <w:t>Trámites y plazos de la evaluación de impacto ambiental ordinaria</w:t>
      </w:r>
    </w:p>
    <w:p>
      <w:pPr>
        <w:pStyle w:val="NormalWeb"/>
        <w:shd w:val="clear" w:color="auto" w:fill="FFFFFF"/>
        <w:spacing w:beforeAutospacing="0" w:before="0" w:afterAutospacing="0" w:after="0"/>
        <w:ind w:left="708" w:hanging="0"/>
        <w:jc w:val="both"/>
        <w:rPr>
          <w:rFonts w:ascii="Calibri" w:hAnsi="Calibri" w:asciiTheme="minorHAnsi" w:hAnsiTheme="minorHAnsi"/>
          <w:b/>
          <w:b/>
          <w:i/>
          <w:i/>
          <w:sz w:val="20"/>
          <w:szCs w:val="20"/>
        </w:rPr>
      </w:pPr>
      <w:r>
        <w:rPr>
          <w:rFonts w:ascii="Calibri" w:hAnsi="Calibri" w:asciiTheme="minorHAnsi" w:hAnsiTheme="minorHAnsi"/>
          <w:b/>
          <w:bCs/>
          <w:i/>
          <w:sz w:val="20"/>
          <w:szCs w:val="20"/>
        </w:rPr>
        <w:t>1. </w:t>
      </w:r>
      <w:r>
        <w:rPr>
          <w:rFonts w:ascii="Calibri" w:hAnsi="Calibri" w:asciiTheme="minorHAnsi" w:hAnsiTheme="minorHAnsi"/>
          <w:b/>
          <w:i/>
          <w:sz w:val="20"/>
          <w:szCs w:val="20"/>
        </w:rPr>
        <w:t>La evaluación de impacto ambiental ordinaria constará de los siguientes trámites:</w:t>
      </w:r>
    </w:p>
    <w:p>
      <w:pPr>
        <w:pStyle w:val="NormalWeb"/>
        <w:shd w:val="clear" w:color="auto" w:fill="FFFFFF"/>
        <w:spacing w:beforeAutospacing="0" w:before="0" w:afterAutospacing="0" w:after="0"/>
        <w:ind w:left="708" w:hanging="0"/>
        <w:jc w:val="both"/>
        <w:rPr>
          <w:rFonts w:ascii="Calibri" w:hAnsi="Calibri" w:asciiTheme="minorHAnsi" w:hAnsiTheme="minorHAnsi"/>
          <w:b/>
          <w:b/>
          <w:i/>
          <w:i/>
          <w:sz w:val="20"/>
          <w:szCs w:val="20"/>
        </w:rPr>
      </w:pPr>
      <w:r>
        <w:rPr>
          <w:rFonts w:ascii="Calibri" w:hAnsi="Calibri" w:asciiTheme="minorHAnsi" w:hAnsiTheme="minorHAnsi"/>
          <w:b/>
          <w:bCs/>
          <w:i/>
          <w:sz w:val="20"/>
          <w:szCs w:val="20"/>
        </w:rPr>
        <w:t>a) </w:t>
      </w:r>
      <w:r>
        <w:rPr>
          <w:rFonts w:ascii="Calibri" w:hAnsi="Calibri" w:asciiTheme="minorHAnsi" w:hAnsiTheme="minorHAnsi"/>
          <w:b/>
          <w:i/>
          <w:sz w:val="20"/>
          <w:szCs w:val="20"/>
        </w:rPr>
        <w:t>Elaboración del estudio de impacto ambiental por el promotor.</w:t>
      </w:r>
    </w:p>
    <w:p>
      <w:pPr>
        <w:pStyle w:val="Normal"/>
        <w:shd w:val="clear" w:color="auto" w:fill="FFFFFF"/>
        <w:spacing w:lineRule="auto" w:line="240" w:before="0" w:after="0"/>
        <w:ind w:left="708" w:hanging="0"/>
        <w:jc w:val="both"/>
        <w:rPr>
          <w:b/>
          <w:b/>
          <w:i/>
          <w:i/>
          <w:sz w:val="20"/>
          <w:szCs w:val="20"/>
        </w:rPr>
      </w:pPr>
      <w:r>
        <w:rPr>
          <w:b/>
          <w:bCs/>
          <w:i/>
          <w:sz w:val="20"/>
          <w:szCs w:val="20"/>
        </w:rPr>
        <w:t>b) </w:t>
      </w:r>
      <w:r>
        <w:rPr>
          <w:b/>
          <w:i/>
          <w:sz w:val="20"/>
          <w:szCs w:val="20"/>
        </w:rPr>
        <w:t>Sometimiento del proyecto y del estudio de impacto ambiental a información pública y consultas a las Administraciones Públicas afectadas y personas interesadas, por el órgano sustantivo.</w:t>
      </w:r>
    </w:p>
    <w:p>
      <w:pPr>
        <w:pStyle w:val="Normal"/>
        <w:shd w:val="clear" w:color="auto" w:fill="FFFFFF"/>
        <w:spacing w:lineRule="auto" w:line="240" w:before="0" w:after="0"/>
        <w:ind w:left="708" w:hanging="0"/>
        <w:jc w:val="both"/>
        <w:rPr>
          <w:b/>
          <w:b/>
          <w:i/>
          <w:i/>
          <w:sz w:val="20"/>
          <w:szCs w:val="20"/>
        </w:rPr>
      </w:pPr>
      <w:r>
        <w:rPr>
          <w:b/>
          <w:bCs/>
          <w:i/>
          <w:sz w:val="20"/>
          <w:szCs w:val="20"/>
        </w:rPr>
        <w:t>c) </w:t>
      </w:r>
      <w:r>
        <w:rPr>
          <w:b/>
          <w:i/>
          <w:sz w:val="20"/>
          <w:szCs w:val="20"/>
        </w:rPr>
        <w:t>Análisis técnico del expediente por el órgano ambiental.</w:t>
      </w:r>
    </w:p>
    <w:p>
      <w:pPr>
        <w:pStyle w:val="Normal"/>
        <w:shd w:val="clear" w:color="auto" w:fill="FFFFFF"/>
        <w:spacing w:lineRule="auto" w:line="240" w:before="0" w:after="0"/>
        <w:ind w:left="708" w:hanging="0"/>
        <w:jc w:val="both"/>
        <w:rPr>
          <w:b/>
          <w:b/>
          <w:i/>
          <w:i/>
          <w:sz w:val="20"/>
          <w:szCs w:val="20"/>
        </w:rPr>
      </w:pPr>
      <w:r>
        <w:rPr>
          <w:b/>
          <w:bCs/>
          <w:i/>
          <w:sz w:val="20"/>
          <w:szCs w:val="20"/>
        </w:rPr>
        <w:t>d) </w:t>
      </w:r>
      <w:r>
        <w:rPr>
          <w:b/>
          <w:i/>
          <w:sz w:val="20"/>
          <w:szCs w:val="20"/>
        </w:rPr>
        <w:t>Formulación de la declaración de impacto ambiental por el órgano ambiental.</w:t>
      </w:r>
    </w:p>
    <w:p>
      <w:pPr>
        <w:pStyle w:val="Normal"/>
        <w:shd w:val="clear" w:color="auto" w:fill="FFFFFF"/>
        <w:spacing w:lineRule="auto" w:line="240" w:before="0" w:after="0"/>
        <w:ind w:left="708" w:hanging="0"/>
        <w:jc w:val="both"/>
        <w:rPr>
          <w:b/>
          <w:b/>
          <w:i/>
          <w:i/>
          <w:sz w:val="20"/>
          <w:szCs w:val="20"/>
        </w:rPr>
      </w:pPr>
      <w:r>
        <w:rPr>
          <w:b/>
          <w:bCs/>
          <w:i/>
          <w:sz w:val="20"/>
          <w:szCs w:val="20"/>
        </w:rPr>
        <w:t>e) </w:t>
      </w:r>
      <w:r>
        <w:rPr>
          <w:b/>
          <w:i/>
          <w:sz w:val="20"/>
          <w:szCs w:val="20"/>
        </w:rPr>
        <w:t>INTEGRACIÓN DEL CONTENIDO DE LA DECLARACIÓN DE IMPACTO AMBIENTAL EN LA AUTORIZACIÓN DEL PROYECTO POR EL ÓRGANO SUSTANTIVO”.</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Default"/>
        <w:jc w:val="both"/>
        <w:rPr>
          <w:rFonts w:ascii="Calibri" w:hAnsi="Calibri" w:asciiTheme="minorHAnsi" w:hAnsiTheme="minorHAnsi"/>
          <w:b/>
          <w:b/>
          <w:color w:val="auto"/>
          <w:sz w:val="20"/>
          <w:szCs w:val="20"/>
        </w:rPr>
      </w:pPr>
      <w:r>
        <w:rPr>
          <w:rFonts w:ascii="Calibri" w:hAnsi="Calibri" w:asciiTheme="minorHAnsi" w:hAnsiTheme="minorHAnsi"/>
          <w:b/>
          <w:color w:val="auto"/>
          <w:sz w:val="20"/>
          <w:szCs w:val="20"/>
        </w:rPr>
        <w:t>Es decir, que el contenido de la Declaración de impacto se debe integrar en la Autorización ambiental del proyecto, NO EN LAS AUTORIZACIONES DE LAS PARTES QUE COMPONEN EL PROYECTO.</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A"/>
        <w:shd w:val="clear" w:color="auto" w:fill="FFFFFF"/>
        <w:spacing w:beforeAutospacing="0" w:before="0" w:afterAutospacing="0" w:after="0"/>
        <w:jc w:val="both"/>
        <w:rPr>
          <w:rFonts w:ascii="Calibri" w:hAnsi="Calibri" w:asciiTheme="minorHAnsi" w:hAnsiTheme="minorHAnsi"/>
          <w:b/>
          <w:b/>
          <w:sz w:val="20"/>
          <w:szCs w:val="20"/>
        </w:rPr>
      </w:pPr>
      <w:r>
        <w:rPr>
          <w:rFonts w:ascii="Calibri" w:hAnsi="Calibri" w:asciiTheme="minorHAnsi" w:hAnsiTheme="minorHAnsi"/>
          <w:b/>
          <w:sz w:val="20"/>
          <w:szCs w:val="20"/>
        </w:rPr>
        <w:t>5.1.4. Del mismo modo, el artículo 42 de la Ley 21/2013, de 9 de diciembre, de evaluación ambiental, en cuanto a AUTORIZACIÓN se refiere al PROYECTO (y no a las partes que componen el proyecto):</w:t>
      </w:r>
    </w:p>
    <w:p>
      <w:pPr>
        <w:pStyle w:val="A"/>
        <w:shd w:val="clear" w:color="auto" w:fill="FFFFFF"/>
        <w:spacing w:beforeAutospacing="0" w:before="0" w:afterAutospacing="0" w:after="0"/>
        <w:rPr>
          <w:rFonts w:ascii="Calibri" w:hAnsi="Calibri" w:asciiTheme="minorHAnsi" w:hAnsiTheme="minorHAnsi"/>
          <w:b/>
          <w:b/>
          <w:sz w:val="8"/>
          <w:szCs w:val="8"/>
        </w:rPr>
      </w:pPr>
      <w:r>
        <w:rPr>
          <w:rFonts w:asciiTheme="minorHAnsi" w:hAnsiTheme="minorHAnsi" w:ascii="Calibri" w:hAnsi="Calibri"/>
          <w:b/>
          <w:sz w:val="8"/>
          <w:szCs w:val="8"/>
        </w:rPr>
      </w:r>
    </w:p>
    <w:p>
      <w:pPr>
        <w:pStyle w:val="A"/>
        <w:shd w:val="clear" w:color="auto" w:fill="FFFFFF"/>
        <w:spacing w:beforeAutospacing="0" w:before="0" w:afterAutospacing="0" w:after="0"/>
        <w:ind w:left="708" w:hanging="0"/>
        <w:jc w:val="both"/>
        <w:rPr>
          <w:rFonts w:ascii="Calibri" w:hAnsi="Calibri" w:asciiTheme="minorHAnsi" w:hAnsiTheme="minorHAnsi"/>
          <w:b/>
          <w:b/>
          <w:bCs/>
          <w:i/>
          <w:i/>
          <w:sz w:val="20"/>
          <w:szCs w:val="20"/>
        </w:rPr>
      </w:pPr>
      <w:r>
        <w:rPr>
          <w:rFonts w:ascii="Calibri" w:hAnsi="Calibri" w:asciiTheme="minorHAnsi" w:hAnsiTheme="minorHAnsi"/>
          <w:b/>
          <w:i/>
          <w:sz w:val="20"/>
          <w:szCs w:val="20"/>
        </w:rPr>
        <w:t>“</w:t>
      </w:r>
      <w:r>
        <w:rPr>
          <w:rFonts w:ascii="Calibri" w:hAnsi="Calibri" w:asciiTheme="minorHAnsi" w:hAnsiTheme="minorHAnsi"/>
          <w:b/>
          <w:i/>
          <w:sz w:val="20"/>
          <w:szCs w:val="20"/>
        </w:rPr>
        <w:t>Autorización del proyecto y publicidad</w:t>
      </w:r>
    </w:p>
    <w:p>
      <w:pPr>
        <w:pStyle w:val="NormalWeb"/>
        <w:shd w:val="clear" w:color="auto" w:fill="FFFFFF"/>
        <w:spacing w:beforeAutospacing="0" w:before="0" w:afterAutospacing="0" w:after="0"/>
        <w:ind w:left="708" w:hanging="0"/>
        <w:jc w:val="both"/>
        <w:rPr>
          <w:rFonts w:ascii="Calibri" w:hAnsi="Calibri" w:asciiTheme="minorHAnsi" w:hAnsiTheme="minorHAnsi"/>
          <w:b/>
          <w:b/>
          <w:i/>
          <w:i/>
          <w:sz w:val="20"/>
          <w:szCs w:val="20"/>
        </w:rPr>
      </w:pPr>
      <w:r>
        <w:rPr>
          <w:rFonts w:ascii="Calibri" w:hAnsi="Calibri" w:asciiTheme="minorHAnsi" w:hAnsiTheme="minorHAnsi"/>
          <w:b/>
          <w:bCs/>
          <w:i/>
          <w:sz w:val="20"/>
          <w:szCs w:val="20"/>
        </w:rPr>
        <w:t>1. </w:t>
      </w:r>
      <w:r>
        <w:rPr>
          <w:rFonts w:ascii="Calibri" w:hAnsi="Calibri" w:asciiTheme="minorHAnsi" w:hAnsiTheme="minorHAnsi"/>
          <w:b/>
          <w:i/>
          <w:sz w:val="20"/>
          <w:szCs w:val="20"/>
        </w:rPr>
        <w:t>El órgano sustantivo deberá tener debidamente en cuenta, EN EL PROCEDIMIENTO DE AUTORIZACIÓN DEL Proyecto, que deberá resolverse en un plazo razonable, la evaluación de impacto ambiental efectuada, incluidos los resultados de las consultas”.</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Default"/>
        <w:jc w:val="both"/>
        <w:rPr>
          <w:rFonts w:ascii="Calibri" w:hAnsi="Calibri" w:asciiTheme="minorHAnsi" w:hAnsiTheme="minorHAnsi"/>
          <w:b/>
          <w:b/>
          <w:color w:val="auto"/>
          <w:sz w:val="20"/>
          <w:szCs w:val="20"/>
        </w:rPr>
      </w:pPr>
      <w:r>
        <w:rPr>
          <w:rFonts w:ascii="Calibri" w:hAnsi="Calibri" w:asciiTheme="minorHAnsi" w:hAnsiTheme="minorHAnsi"/>
          <w:b/>
          <w:color w:val="auto"/>
          <w:sz w:val="20"/>
          <w:szCs w:val="20"/>
        </w:rPr>
        <w:t>5.1.5. Por otra parte, existe una correspondencia UNÍVOCA entre la evaluación de impacto ambiental y la autorización administrativa previa de UNA INSTALACIÓN.</w:t>
      </w:r>
    </w:p>
    <w:p>
      <w:pPr>
        <w:pStyle w:val="Default"/>
        <w:jc w:val="both"/>
        <w:rPr>
          <w:rFonts w:ascii="Calibri" w:hAnsi="Calibri" w:asciiTheme="minorHAnsi" w:hAnsiTheme="minorHAnsi"/>
          <w:b/>
          <w:b/>
          <w:color w:val="auto"/>
          <w:sz w:val="20"/>
          <w:szCs w:val="20"/>
        </w:rPr>
      </w:pPr>
      <w:r>
        <w:rPr>
          <w:rFonts w:ascii="Calibri" w:hAnsi="Calibri" w:asciiTheme="minorHAnsi" w:hAnsiTheme="minorHAnsi"/>
          <w:b/>
          <w:color w:val="auto"/>
          <w:sz w:val="20"/>
          <w:szCs w:val="20"/>
        </w:rPr>
        <w:t xml:space="preserve"> </w:t>
      </w:r>
    </w:p>
    <w:p>
      <w:pPr>
        <w:pStyle w:val="Normal"/>
        <w:spacing w:lineRule="auto" w:line="240" w:before="0" w:after="0"/>
        <w:rPr>
          <w:b/>
          <w:b/>
          <w:sz w:val="20"/>
          <w:szCs w:val="20"/>
        </w:rPr>
      </w:pPr>
      <w:r>
        <w:rPr>
          <w:b/>
          <w:sz w:val="20"/>
          <w:szCs w:val="20"/>
        </w:rPr>
        <w:t>El artículo 53 de la Ley 24/2013, de 26 de diciembre, del Sector Eléctrico establece lo siguiente:</w:t>
      </w:r>
    </w:p>
    <w:p>
      <w:pPr>
        <w:pStyle w:val="Normal"/>
        <w:spacing w:lineRule="auto" w:line="240" w:before="0" w:after="0"/>
        <w:rPr>
          <w:b/>
          <w:b/>
          <w:sz w:val="8"/>
          <w:szCs w:val="8"/>
        </w:rPr>
      </w:pPr>
      <w:r>
        <w:rPr>
          <w:b/>
          <w:sz w:val="8"/>
          <w:szCs w:val="8"/>
        </w:rPr>
      </w:r>
    </w:p>
    <w:p>
      <w:pPr>
        <w:pStyle w:val="Normal"/>
        <w:spacing w:lineRule="auto" w:line="240" w:before="0" w:after="0"/>
        <w:ind w:left="708" w:hanging="0"/>
        <w:jc w:val="both"/>
        <w:rPr>
          <w:b/>
          <w:b/>
          <w:i/>
          <w:i/>
          <w:sz w:val="20"/>
          <w:szCs w:val="20"/>
        </w:rPr>
      </w:pPr>
      <w:r>
        <w:rPr>
          <w:b/>
          <w:i/>
          <w:sz w:val="20"/>
          <w:szCs w:val="20"/>
        </w:rPr>
        <w:t>“</w:t>
      </w:r>
      <w:r>
        <w:rPr>
          <w:b/>
          <w:i/>
          <w:sz w:val="20"/>
          <w:szCs w:val="20"/>
        </w:rPr>
        <w:t>Autorización de instalaciones de transporte, distribución, producción y líneas directas</w:t>
      </w:r>
    </w:p>
    <w:p>
      <w:pPr>
        <w:pStyle w:val="NormalWeb"/>
        <w:shd w:val="clear" w:color="auto" w:fill="FFFFFF"/>
        <w:spacing w:beforeAutospacing="0" w:before="0" w:afterAutospacing="0" w:after="0"/>
        <w:ind w:left="708" w:hanging="0"/>
        <w:jc w:val="both"/>
        <w:rPr>
          <w:rFonts w:ascii="Calibri" w:hAnsi="Calibri" w:asciiTheme="minorHAnsi" w:hAnsiTheme="minorHAnsi"/>
          <w:b/>
          <w:b/>
          <w:i/>
          <w:i/>
          <w:sz w:val="20"/>
          <w:szCs w:val="20"/>
        </w:rPr>
      </w:pPr>
      <w:r>
        <w:rPr>
          <w:rFonts w:ascii="Calibri" w:hAnsi="Calibri" w:asciiTheme="minorHAnsi" w:hAnsiTheme="minorHAnsi"/>
          <w:b/>
          <w:bCs/>
          <w:i/>
          <w:sz w:val="20"/>
          <w:szCs w:val="20"/>
        </w:rPr>
        <w:t>1. </w:t>
      </w:r>
      <w:r>
        <w:rPr>
          <w:rFonts w:ascii="Calibri" w:hAnsi="Calibri" w:asciiTheme="minorHAnsi" w:hAnsiTheme="minorHAnsi"/>
          <w:b/>
          <w:i/>
          <w:sz w:val="20"/>
          <w:szCs w:val="20"/>
        </w:rPr>
        <w:t>Para la puesta en funcionamiento de nuevas instalaciones de transporte, distribución, producción, líneas directas e infraestructuras eléctricas (…) se requerirá de las siguientes autorizaciones administrativas:</w:t>
      </w:r>
    </w:p>
    <w:p>
      <w:pPr>
        <w:pStyle w:val="Normal"/>
        <w:shd w:val="clear" w:color="auto" w:fill="FFFFFF"/>
        <w:spacing w:lineRule="auto" w:line="240" w:before="0" w:after="0"/>
        <w:ind w:left="708" w:hanging="0"/>
        <w:jc w:val="both"/>
        <w:rPr>
          <w:b/>
          <w:b/>
          <w:i/>
          <w:i/>
          <w:sz w:val="20"/>
          <w:szCs w:val="20"/>
        </w:rPr>
      </w:pPr>
      <w:r>
        <w:rPr>
          <w:b/>
          <w:bCs/>
          <w:i/>
          <w:sz w:val="20"/>
          <w:szCs w:val="20"/>
        </w:rPr>
        <w:t>a) </w:t>
      </w:r>
      <w:r>
        <w:rPr>
          <w:b/>
          <w:i/>
          <w:sz w:val="20"/>
          <w:szCs w:val="20"/>
        </w:rPr>
        <w:t>Autorización administrativa previa, que se tramitará con el anteproyecto de la instalación como documento técnico y, en su caso, conjuntamente con la evaluación de impacto ambiental, según lo dispuesto en la Ley 21/2013, de 9 de diciembre, de evaluación ambiental”</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Default"/>
        <w:jc w:val="both"/>
        <w:rPr>
          <w:b/>
          <w:b/>
          <w:i/>
          <w:i/>
          <w:color w:val="auto"/>
          <w:sz w:val="20"/>
          <w:szCs w:val="20"/>
        </w:rPr>
      </w:pPr>
      <w:r>
        <w:rPr>
          <w:rFonts w:ascii="Calibri" w:hAnsi="Calibri" w:asciiTheme="minorHAnsi" w:hAnsiTheme="minorHAnsi"/>
          <w:b/>
          <w:color w:val="auto"/>
          <w:sz w:val="20"/>
          <w:szCs w:val="20"/>
        </w:rPr>
        <w:t>5.1.6. La Declaración de impacto ambiental se formuló en relación con los</w:t>
      </w:r>
      <w:r>
        <w:rPr>
          <w:b/>
          <w:color w:val="auto"/>
          <w:sz w:val="20"/>
          <w:szCs w:val="20"/>
        </w:rPr>
        <w:t xml:space="preserve"> </w:t>
      </w:r>
      <w:r>
        <w:rPr>
          <w:rFonts w:ascii="Calibri" w:hAnsi="Calibri" w:asciiTheme="minorHAnsi" w:hAnsiTheme="minorHAnsi"/>
          <w:b/>
          <w:color w:val="auto"/>
          <w:sz w:val="20"/>
          <w:szCs w:val="20"/>
        </w:rPr>
        <w:t>“</w:t>
      </w:r>
      <w:r>
        <w:rPr>
          <w:rFonts w:cs="Arimo" w:ascii="Calibri" w:hAnsi="Calibri" w:asciiTheme="minorHAnsi" w:hAnsiTheme="minorHAnsi"/>
          <w:b/>
          <w:i/>
          <w:iCs/>
          <w:color w:val="auto"/>
          <w:sz w:val="20"/>
          <w:szCs w:val="20"/>
        </w:rPr>
        <w:t>Parques eólicos Cabecero, Concejo, Cid, Estrella y Vacada (Total 22 parques: Clúster Maestrazgo) en la provincia de Teruel, su infraestructura de evacuación hasta la SET Morella 400 en Morella (Castellón) y acondicionamiento de accesos para transportes especiales</w:t>
      </w:r>
      <w:r>
        <w:rPr>
          <w:rFonts w:ascii="Calibri" w:hAnsi="Calibri" w:asciiTheme="minorHAnsi" w:hAnsiTheme="minorHAnsi"/>
          <w:b/>
          <w:color w:val="auto"/>
          <w:sz w:val="20"/>
          <w:szCs w:val="20"/>
        </w:rPr>
        <w:t>”</w:t>
      </w:r>
      <w:r>
        <w:rPr>
          <w:b/>
          <w:color w:val="auto"/>
          <w:sz w:val="20"/>
          <w:szCs w:val="20"/>
        </w:rPr>
        <w:t xml:space="preserve"> </w:t>
      </w:r>
      <w:r>
        <w:rPr>
          <w:rFonts w:ascii="Calibri" w:hAnsi="Calibri" w:asciiTheme="minorHAnsi" w:hAnsiTheme="minorHAnsi"/>
          <w:b/>
          <w:color w:val="auto"/>
          <w:sz w:val="20"/>
          <w:szCs w:val="20"/>
        </w:rPr>
        <w:t>no en relación con el “Proyecto Concejo I”. Así se publicó en el BOE nº 397 de 23 de diciembre de 2022</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Default"/>
        <w:jc w:val="both"/>
        <w:rPr>
          <w:rFonts w:ascii="Calibri" w:hAnsi="Calibri" w:asciiTheme="minorHAnsi" w:hAnsiTheme="minorHAnsi"/>
          <w:b/>
          <w:b/>
          <w:color w:val="auto"/>
          <w:sz w:val="20"/>
          <w:szCs w:val="20"/>
        </w:rPr>
      </w:pPr>
      <w:r>
        <w:rPr>
          <w:rFonts w:ascii="Calibri" w:hAnsi="Calibri" w:asciiTheme="minorHAnsi" w:hAnsiTheme="minorHAnsi"/>
          <w:b/>
          <w:color w:val="auto"/>
          <w:sz w:val="20"/>
          <w:szCs w:val="20"/>
        </w:rPr>
        <w:t xml:space="preserve">5.1.7. Y, después de haberse autorizado por separado los proyectos Concejo I y las otras 19 plantas fotovoltaicas, para la Solicitud de Autorización administrativa de construcción se vuelven a unir todos los expedientes en el </w:t>
      </w:r>
      <w:r>
        <w:rPr>
          <w:rFonts w:cs="Arimo" w:ascii="Calibri" w:hAnsi="Calibri" w:asciiTheme="minorHAnsi" w:hAnsiTheme="minorHAnsi"/>
          <w:b/>
          <w:iCs/>
          <w:color w:val="auto"/>
          <w:sz w:val="20"/>
          <w:szCs w:val="20"/>
        </w:rPr>
        <w:t>PEol 449 AC</w:t>
      </w:r>
      <w:r>
        <w:rPr>
          <w:rFonts w:ascii="Calibri" w:hAnsi="Calibri" w:asciiTheme="minorHAnsi" w:hAnsiTheme="minorHAnsi"/>
          <w:b/>
          <w:color w:val="auto"/>
          <w:sz w:val="20"/>
          <w:szCs w:val="20"/>
        </w:rPr>
        <w:t>. Dice el BOE de 17 de mayo de 2023:</w:t>
      </w:r>
    </w:p>
    <w:p>
      <w:pPr>
        <w:pStyle w:val="Default"/>
        <w:jc w:val="both"/>
        <w:rPr>
          <w:rFonts w:ascii="Calibri" w:hAnsi="Calibri" w:asciiTheme="minorHAnsi" w:hAnsiTheme="minorHAnsi"/>
          <w:b/>
          <w:b/>
          <w:color w:val="auto"/>
          <w:sz w:val="8"/>
          <w:szCs w:val="8"/>
        </w:rPr>
      </w:pPr>
      <w:r>
        <w:rPr>
          <w:rFonts w:asciiTheme="minorHAnsi" w:hAnsiTheme="minorHAnsi" w:ascii="Calibri" w:hAnsi="Calibri"/>
          <w:b/>
          <w:color w:val="auto"/>
          <w:sz w:val="8"/>
          <w:szCs w:val="8"/>
        </w:rPr>
      </w:r>
    </w:p>
    <w:p>
      <w:pPr>
        <w:pStyle w:val="Default"/>
        <w:ind w:left="708" w:hanging="0"/>
        <w:jc w:val="both"/>
        <w:rPr>
          <w:rFonts w:ascii="Calibri" w:hAnsi="Calibri" w:cs="Arimo" w:asciiTheme="minorHAnsi" w:hAnsiTheme="minorHAnsi"/>
          <w:b/>
          <w:b/>
          <w:i/>
          <w:i/>
          <w:iCs/>
          <w:color w:val="auto"/>
          <w:sz w:val="20"/>
          <w:szCs w:val="20"/>
        </w:rPr>
      </w:pPr>
      <w:r>
        <w:rPr>
          <w:rFonts w:cs="Arimo" w:ascii="Calibri" w:hAnsi="Calibri" w:asciiTheme="minorHAnsi" w:hAnsiTheme="minorHAnsi"/>
          <w:b/>
          <w:color w:val="auto"/>
          <w:sz w:val="20"/>
          <w:szCs w:val="20"/>
        </w:rPr>
        <w:t>“</w:t>
      </w:r>
      <w:r>
        <w:rPr>
          <w:rFonts w:cs="Arimo" w:ascii="Calibri" w:hAnsi="Calibri" w:asciiTheme="minorHAnsi" w:hAnsiTheme="minorHAnsi"/>
          <w:b/>
          <w:iCs/>
          <w:color w:val="auto"/>
          <w:sz w:val="20"/>
          <w:szCs w:val="20"/>
        </w:rPr>
        <w:t>Anuncio de la Dependencia del Área de Industria y Energía de la Subdelegación del Gobierno en Teruel por el que se somete a información pública la solicitud de modificación de la autorización administrativa previa y la solicitud de autorización administrativa de construcción y declaración, en concreto, de utilidad pública del expediente PEol 449 AC "Parques eólicos Cabecero, Concejo, Cid, Estrella y Vacada (total 20 parques) su infraestructura de evacuación hasta la SET Morella 400 y acondicionamiento de accesos para transportes especiales", con una potencia de 727'1 MW en los términos municipales de Fortanete, Mosqueruela, La Iglesuela del Cid, Cantavieja, Villarluengo, Tronchón, Mirambel y Puertomingalvo, en laprovincia de Teruel, y los términos municipales de Cinctorres, Portell de Morella y Morella, en la provincia de Castellón</w:t>
      </w:r>
      <w:r>
        <w:rPr>
          <w:rFonts w:cs="Arimo" w:ascii="Calibri" w:hAnsi="Calibri" w:asciiTheme="minorHAnsi" w:hAnsiTheme="minorHAnsi"/>
          <w:b/>
          <w:i/>
          <w:iCs/>
          <w:color w:val="auto"/>
          <w:sz w:val="20"/>
          <w:szCs w:val="20"/>
        </w:rPr>
        <w:t>”</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Default"/>
        <w:jc w:val="both"/>
        <w:rPr>
          <w:rFonts w:ascii="Calibri" w:hAnsi="Calibri" w:asciiTheme="minorHAnsi" w:hAnsiTheme="minorHAnsi"/>
          <w:b/>
          <w:b/>
          <w:color w:val="auto"/>
          <w:sz w:val="20"/>
          <w:szCs w:val="20"/>
        </w:rPr>
      </w:pPr>
      <w:r>
        <w:rPr>
          <w:rFonts w:ascii="Calibri" w:hAnsi="Calibri" w:asciiTheme="minorHAnsi" w:hAnsiTheme="minorHAnsi"/>
          <w:b/>
          <w:color w:val="auto"/>
          <w:sz w:val="20"/>
          <w:szCs w:val="20"/>
        </w:rPr>
        <w:t xml:space="preserve">5.2. </w:t>
      </w:r>
      <w:r>
        <w:rPr>
          <w:rFonts w:ascii="Calibri" w:hAnsi="Calibri" w:asciiTheme="minorHAnsi" w:hAnsiTheme="minorHAnsi"/>
          <w:b/>
          <w:color w:val="auto"/>
          <w:sz w:val="20"/>
          <w:szCs w:val="20"/>
          <w:u w:val="single"/>
        </w:rPr>
        <w:t>SE HA PRODUCIDO UN FRACCIONAMIENTO DEL EXPEDIENTE TANTO EN LAS PLANTAS FOTOVOLTAICAS COMO EN LOS PARQUES EÓLICOS</w:t>
      </w:r>
    </w:p>
    <w:p>
      <w:pPr>
        <w:pStyle w:val="Default"/>
        <w:jc w:val="both"/>
        <w:rPr>
          <w:rFonts w:ascii="Calibri" w:hAnsi="Calibri" w:asciiTheme="minorHAnsi" w:hAnsiTheme="minorHAnsi"/>
          <w:b/>
          <w:b/>
          <w:color w:val="auto"/>
          <w:sz w:val="8"/>
          <w:szCs w:val="8"/>
        </w:rPr>
      </w:pPr>
      <w:r>
        <w:rPr>
          <w:rFonts w:asciiTheme="minorHAnsi" w:hAnsiTheme="minorHAnsi" w:ascii="Calibri" w:hAnsi="Calibri"/>
          <w:b/>
          <w:color w:val="auto"/>
          <w:sz w:val="8"/>
          <w:szCs w:val="8"/>
        </w:rPr>
      </w:r>
    </w:p>
    <w:p>
      <w:pPr>
        <w:pStyle w:val="Default"/>
        <w:jc w:val="both"/>
        <w:rPr>
          <w:rFonts w:ascii="Calibri" w:hAnsi="Calibri" w:asciiTheme="minorHAnsi" w:hAnsiTheme="minorHAnsi"/>
          <w:b/>
          <w:b/>
          <w:color w:val="auto"/>
          <w:sz w:val="20"/>
          <w:szCs w:val="20"/>
        </w:rPr>
      </w:pPr>
      <w:r>
        <w:rPr>
          <w:rFonts w:ascii="Calibri" w:hAnsi="Calibri" w:asciiTheme="minorHAnsi" w:hAnsiTheme="minorHAnsi"/>
          <w:b/>
          <w:color w:val="auto"/>
          <w:sz w:val="20"/>
          <w:szCs w:val="20"/>
        </w:rPr>
        <w:t xml:space="preserve">5.2.1. Por Anuncio publicado en el BOE de 3 de marzo de 2021  </w:t>
      </w:r>
      <w:r>
        <w:rPr>
          <w:rFonts w:ascii="Calibri" w:hAnsi="Calibri" w:asciiTheme="minorHAnsi" w:hAnsiTheme="minorHAnsi"/>
          <w:b/>
          <w:i/>
          <w:color w:val="auto"/>
          <w:sz w:val="20"/>
          <w:szCs w:val="20"/>
        </w:rPr>
        <w:t>“</w:t>
      </w:r>
      <w:r>
        <w:rPr>
          <w:rFonts w:ascii="Calibri" w:hAnsi="Calibri" w:asciiTheme="minorHAnsi" w:hAnsiTheme="minorHAnsi"/>
          <w:b/>
          <w:i/>
          <w:iCs/>
          <w:color w:val="auto"/>
          <w:sz w:val="20"/>
          <w:szCs w:val="20"/>
        </w:rPr>
        <w:t>se somete a Información Pública el Estudio de Impacto Ambiental y la Solicitud de Autorización Administrativa Previa del conjunto de parques eólicos denominado "Clúster Maestrazgo_PEOL-449 AC" que comprende un total de 22 Proyectos de Parques Eólicos”.</w:t>
      </w:r>
    </w:p>
    <w:p>
      <w:pPr>
        <w:pStyle w:val="Default"/>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Default"/>
        <w:rPr>
          <w:rFonts w:ascii="Calibri" w:hAnsi="Calibri" w:asciiTheme="minorHAnsi" w:hAnsiTheme="minorHAnsi"/>
          <w:b/>
          <w:b/>
          <w:color w:val="auto"/>
          <w:sz w:val="20"/>
          <w:szCs w:val="20"/>
        </w:rPr>
      </w:pPr>
      <w:r>
        <w:rPr>
          <w:rFonts w:ascii="Calibri" w:hAnsi="Calibri" w:asciiTheme="minorHAnsi" w:hAnsiTheme="minorHAnsi"/>
          <w:b/>
          <w:color w:val="auto"/>
          <w:sz w:val="20"/>
          <w:szCs w:val="20"/>
        </w:rPr>
        <w:t>El proyecto es el de "Clúster Maestrazgo_PEOL-449 AC", y así se evaluó ambientalmente.</w:t>
      </w:r>
    </w:p>
    <w:p>
      <w:pPr>
        <w:pStyle w:val="Default"/>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Default"/>
        <w:jc w:val="both"/>
        <w:rPr>
          <w:rFonts w:ascii="Calibri" w:hAnsi="Calibri" w:asciiTheme="minorHAnsi" w:hAnsiTheme="minorHAnsi"/>
          <w:b/>
          <w:b/>
          <w:color w:val="auto"/>
          <w:sz w:val="20"/>
          <w:szCs w:val="20"/>
        </w:rPr>
      </w:pPr>
      <w:r>
        <w:rPr>
          <w:rFonts w:ascii="Calibri" w:hAnsi="Calibri" w:asciiTheme="minorHAnsi" w:hAnsiTheme="minorHAnsi"/>
          <w:b/>
          <w:color w:val="auto"/>
          <w:sz w:val="20"/>
          <w:szCs w:val="20"/>
        </w:rPr>
        <w:t>5.2.2. Que antes del 25 de abril de 2023 (en este caso Resolución de 24 de abril de 2023) fuese emitida Resolución administrativa de una parte de alguno de estos Clústers (PE Concejo I, en este caso) sin comprender todo el proyecto que fue expuesto a información pública conjuntamente, con un estudio de impacto ambiental conjunto, analizado técnicamente de forma conjunta y formulada una Declaración de impacto ambiental conjunta, se trata de una irregularidad administrativa.</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Default"/>
        <w:jc w:val="both"/>
        <w:rPr>
          <w:rFonts w:ascii="Calibri" w:hAnsi="Calibri" w:cs="Arimo" w:asciiTheme="minorHAnsi" w:hAnsiTheme="minorHAnsi"/>
          <w:b/>
          <w:b/>
          <w:i/>
          <w:i/>
          <w:iCs/>
          <w:color w:val="auto"/>
          <w:sz w:val="20"/>
          <w:szCs w:val="20"/>
        </w:rPr>
      </w:pPr>
      <w:r>
        <w:rPr>
          <w:rFonts w:ascii="Calibri" w:hAnsi="Calibri" w:asciiTheme="minorHAnsi" w:hAnsiTheme="minorHAnsi"/>
          <w:b/>
          <w:color w:val="auto"/>
          <w:sz w:val="20"/>
          <w:szCs w:val="20"/>
        </w:rPr>
        <w:t xml:space="preserve">Que esto se trata de una irregularidad, aún se pone más de manifiesto al comprobar que se vuelve a hacer referencia al PEOL 449 en el BOE del 17 de mayo de 2023 cuando se publica el </w:t>
      </w:r>
      <w:r>
        <w:rPr>
          <w:rFonts w:cs="Arimo" w:ascii="Calibri" w:hAnsi="Calibri" w:asciiTheme="minorHAnsi" w:hAnsiTheme="minorHAnsi"/>
          <w:b/>
          <w:i/>
          <w:iCs/>
          <w:color w:val="auto"/>
          <w:sz w:val="20"/>
          <w:szCs w:val="20"/>
        </w:rPr>
        <w:t>“Anuncio de la Dependencia del Área de Industria y Energía de la Subdelegación del Gobierno en Teruel por el que se somete a información pública la solicitud de modificación de la autorización administrativa previa y la solicitud de autorización administrativa de construcción y declaración, en concreto, de utilidad pública del expediente PEol 449 AC "Parques eólicos Cabecero, Concejo, Cid, Estrella y Vacada (total 20 parques) su infraestructura de evacuación hasta la SET Morella 400 y acondicionamiento de accesos para transportes especiales”.</w:t>
      </w:r>
    </w:p>
    <w:p>
      <w:pPr>
        <w:pStyle w:val="Default"/>
        <w:jc w:val="both"/>
        <w:rPr>
          <w:rFonts w:ascii="Calibri" w:hAnsi="Calibri" w:cs="Arimo" w:asciiTheme="minorHAnsi" w:hAnsiTheme="minorHAnsi"/>
          <w:b/>
          <w:b/>
          <w:i/>
          <w:i/>
          <w:iCs/>
          <w:color w:val="auto"/>
          <w:sz w:val="20"/>
          <w:szCs w:val="20"/>
        </w:rPr>
      </w:pPr>
      <w:r>
        <w:rPr>
          <w:rFonts w:cs="Arimo" w:ascii="Calibri" w:hAnsi="Calibri"/>
          <w:b/>
          <w:i/>
          <w:iCs/>
          <w:color w:val="auto"/>
          <w:sz w:val="20"/>
          <w:szCs w:val="20"/>
        </w:rPr>
      </w:r>
    </w:p>
    <w:p>
      <w:pPr>
        <w:pStyle w:val="Default"/>
        <w:jc w:val="both"/>
        <w:rPr>
          <w:rFonts w:ascii="Calibri" w:hAnsi="Calibri" w:cs="Arimo" w:asciiTheme="minorHAnsi" w:hAnsiTheme="minorHAnsi"/>
          <w:b/>
          <w:b/>
          <w:iCs/>
          <w:color w:val="auto"/>
          <w:sz w:val="20"/>
          <w:szCs w:val="20"/>
        </w:rPr>
      </w:pPr>
      <w:r>
        <w:rPr>
          <w:rFonts w:cs="Arimo" w:ascii="Calibri" w:hAnsi="Calibri" w:asciiTheme="minorHAnsi" w:hAnsiTheme="minorHAnsi"/>
          <w:b/>
          <w:iCs/>
          <w:color w:val="auto"/>
          <w:sz w:val="20"/>
          <w:szCs w:val="20"/>
        </w:rPr>
        <w:t>¡Habla de modificación de la autorización administrativa previa, no de modificación de las autorizaciones administrativas previas!</w:t>
      </w:r>
    </w:p>
    <w:p>
      <w:pPr>
        <w:pStyle w:val="Default"/>
        <w:jc w:val="both"/>
        <w:rPr>
          <w:rFonts w:ascii="Calibri" w:hAnsi="Calibri" w:cs="Arimo" w:asciiTheme="minorHAnsi" w:hAnsiTheme="minorHAnsi"/>
          <w:b/>
          <w:b/>
          <w:i/>
          <w:i/>
          <w:iCs/>
          <w:color w:val="auto"/>
          <w:sz w:val="20"/>
          <w:szCs w:val="20"/>
        </w:rPr>
      </w:pPr>
      <w:r>
        <w:rPr>
          <w:rFonts w:cs="Arimo" w:ascii="Calibri" w:hAnsi="Calibri"/>
          <w:b/>
          <w:i/>
          <w:iCs/>
          <w:color w:val="auto"/>
          <w:sz w:val="20"/>
          <w:szCs w:val="20"/>
        </w:rPr>
      </w:r>
    </w:p>
    <w:p>
      <w:pPr>
        <w:pStyle w:val="Default"/>
        <w:jc w:val="both"/>
        <w:rPr>
          <w:rFonts w:ascii="Calibri" w:hAnsi="Calibri" w:asciiTheme="minorHAnsi" w:hAnsiTheme="minorHAnsi"/>
          <w:b/>
          <w:b/>
          <w:color w:val="auto"/>
          <w:sz w:val="20"/>
          <w:szCs w:val="20"/>
        </w:rPr>
      </w:pPr>
      <w:r>
        <w:rPr>
          <w:rFonts w:cs="Arimo" w:ascii="Calibri" w:hAnsi="Calibri" w:asciiTheme="minorHAnsi" w:hAnsiTheme="minorHAnsi"/>
          <w:b/>
          <w:iCs/>
          <w:color w:val="auto"/>
          <w:sz w:val="20"/>
          <w:szCs w:val="20"/>
        </w:rPr>
        <w:t xml:space="preserve">Es decir, unas veces la Administración considera que el proyecto es el PEOL 449 AC y otras veces considera que son veinte proyectos. </w:t>
      </w:r>
      <w:r>
        <w:rPr>
          <w:rFonts w:ascii="Calibri" w:hAnsi="Calibri" w:asciiTheme="minorHAnsi" w:hAnsiTheme="minorHAnsi"/>
          <w:b/>
          <w:color w:val="auto"/>
          <w:sz w:val="20"/>
          <w:szCs w:val="20"/>
        </w:rPr>
        <w:t>El artículo 9.3 de la Constitución prohíbe la arbitrariedad de los poderes públicos.</w:t>
      </w:r>
    </w:p>
    <w:p>
      <w:pPr>
        <w:pStyle w:val="Default"/>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Default"/>
        <w:jc w:val="both"/>
        <w:rPr>
          <w:b/>
          <w:b/>
          <w:color w:val="auto"/>
          <w:sz w:val="20"/>
          <w:szCs w:val="20"/>
        </w:rPr>
      </w:pPr>
      <w:r>
        <w:rPr>
          <w:rFonts w:ascii="Calibri" w:hAnsi="Calibri" w:asciiTheme="minorHAnsi" w:hAnsiTheme="minorHAnsi"/>
          <w:b/>
          <w:color w:val="auto"/>
          <w:sz w:val="20"/>
          <w:szCs w:val="20"/>
        </w:rPr>
        <w:t xml:space="preserve">6. </w:t>
      </w:r>
      <w:r>
        <w:rPr>
          <w:rFonts w:ascii="Calibri" w:hAnsi="Calibri" w:asciiTheme="minorHAnsi" w:hAnsiTheme="minorHAnsi"/>
          <w:b/>
          <w:color w:val="auto"/>
          <w:sz w:val="20"/>
          <w:szCs w:val="20"/>
          <w:u w:val="single"/>
        </w:rPr>
        <w:t>ASUNCIÓN DE COMPETENCIAS CORRESPONDIENTES A OTRO ÓRGANO DE LA ADMINISTRACIÓN</w:t>
      </w:r>
    </w:p>
    <w:p>
      <w:pPr>
        <w:pStyle w:val="Default"/>
        <w:jc w:val="both"/>
        <w:rPr>
          <w:rFonts w:ascii="Calibri" w:hAnsi="Calibri" w:asciiTheme="minorHAnsi" w:hAnsiTheme="minorHAnsi"/>
          <w:b/>
          <w:b/>
          <w:color w:val="auto"/>
          <w:sz w:val="8"/>
          <w:szCs w:val="8"/>
        </w:rPr>
      </w:pPr>
      <w:r>
        <w:rPr>
          <w:rFonts w:asciiTheme="minorHAnsi" w:hAnsiTheme="minorHAnsi" w:ascii="Calibri" w:hAnsi="Calibri"/>
          <w:b/>
          <w:color w:val="auto"/>
          <w:sz w:val="8"/>
          <w:szCs w:val="8"/>
        </w:rPr>
      </w:r>
    </w:p>
    <w:p>
      <w:pPr>
        <w:pStyle w:val="Default"/>
        <w:jc w:val="both"/>
        <w:rPr>
          <w:rFonts w:ascii="Calibri" w:hAnsi="Calibri" w:asciiTheme="minorHAnsi" w:hAnsiTheme="minorHAnsi"/>
          <w:b/>
          <w:b/>
          <w:color w:val="auto"/>
          <w:sz w:val="20"/>
          <w:szCs w:val="20"/>
        </w:rPr>
      </w:pPr>
      <w:r>
        <w:rPr>
          <w:rFonts w:ascii="Calibri" w:hAnsi="Calibri" w:asciiTheme="minorHAnsi" w:hAnsiTheme="minorHAnsi"/>
          <w:b/>
          <w:color w:val="auto"/>
          <w:sz w:val="20"/>
          <w:szCs w:val="20"/>
          <w:u w:val="single"/>
        </w:rPr>
        <w:t xml:space="preserve">SI ADMITIMOS QUE PUEDA EXISTIR UNA RESOLUCIÓN CON LA AUTORIZACIÓN ADMINISTRATIVA PREVIA EXCLUSIVAMENTE PARA </w:t>
      </w:r>
      <w:r>
        <w:rPr>
          <w:rFonts w:cs="Arimo" w:ascii="Calibri" w:hAnsi="Calibri" w:asciiTheme="minorHAnsi" w:hAnsiTheme="minorHAnsi"/>
          <w:b/>
          <w:iCs/>
          <w:color w:val="auto"/>
          <w:sz w:val="20"/>
          <w:szCs w:val="20"/>
          <w:u w:val="single"/>
        </w:rPr>
        <w:t>LA INSTALACIÓN EÓLICA CONCEJO I, POR EJEMPLO, ESTARÍAMOS ANTE UNA INDEBIDA ASUNCIÓN DE COMPETENCIAS</w:t>
      </w:r>
    </w:p>
    <w:p>
      <w:pPr>
        <w:pStyle w:val="Default"/>
        <w:jc w:val="both"/>
        <w:rPr>
          <w:rFonts w:ascii="Calibri" w:hAnsi="Calibri" w:asciiTheme="minorHAnsi" w:hAnsiTheme="minorHAnsi"/>
          <w:b/>
          <w:b/>
          <w:color w:val="auto"/>
          <w:sz w:val="8"/>
          <w:szCs w:val="8"/>
        </w:rPr>
      </w:pPr>
      <w:r>
        <w:rPr>
          <w:rFonts w:asciiTheme="minorHAnsi" w:hAnsiTheme="minorHAnsi" w:ascii="Calibri" w:hAnsi="Calibri"/>
          <w:b/>
          <w:color w:val="auto"/>
          <w:sz w:val="8"/>
          <w:szCs w:val="8"/>
        </w:rPr>
      </w:r>
    </w:p>
    <w:p>
      <w:pPr>
        <w:pStyle w:val="Default"/>
        <w:jc w:val="both"/>
        <w:rPr>
          <w:rFonts w:ascii="Calibri" w:hAnsi="Calibri" w:asciiTheme="minorHAnsi" w:hAnsiTheme="minorHAnsi"/>
          <w:b/>
          <w:b/>
          <w:color w:val="auto"/>
          <w:sz w:val="20"/>
          <w:szCs w:val="20"/>
        </w:rPr>
      </w:pPr>
      <w:r>
        <w:rPr>
          <w:rFonts w:ascii="Calibri" w:hAnsi="Calibri" w:asciiTheme="minorHAnsi" w:hAnsiTheme="minorHAnsi"/>
          <w:b/>
          <w:color w:val="auto"/>
          <w:sz w:val="20"/>
          <w:szCs w:val="20"/>
        </w:rPr>
        <w:t xml:space="preserve">6.1. Si admitimos que pueda existir una Resolución con la Autorización administrativa previa exclusivamente para </w:t>
      </w:r>
      <w:r>
        <w:rPr>
          <w:rFonts w:cs="Arimo" w:ascii="Calibri" w:hAnsi="Calibri" w:asciiTheme="minorHAnsi" w:hAnsiTheme="minorHAnsi"/>
          <w:b/>
          <w:iCs/>
          <w:color w:val="auto"/>
          <w:sz w:val="20"/>
          <w:szCs w:val="20"/>
        </w:rPr>
        <w:t>la instalación eólica Concejo I, u otros parques eólicos, estaríamos ante una indebida asunción de competencias.</w:t>
      </w:r>
    </w:p>
    <w:p>
      <w:pPr>
        <w:pStyle w:val="Normal"/>
        <w:spacing w:lineRule="auto" w:line="240" w:before="0" w:after="0"/>
        <w:rPr>
          <w:b/>
          <w:b/>
          <w:sz w:val="20"/>
          <w:szCs w:val="20"/>
        </w:rPr>
      </w:pPr>
      <w:r>
        <w:rPr>
          <w:b/>
          <w:sz w:val="20"/>
          <w:szCs w:val="20"/>
        </w:rPr>
      </w:r>
    </w:p>
    <w:p>
      <w:pPr>
        <w:pStyle w:val="Normal"/>
        <w:spacing w:lineRule="auto" w:line="240" w:before="0" w:after="0"/>
        <w:jc w:val="both"/>
        <w:rPr>
          <w:b/>
          <w:b/>
          <w:sz w:val="20"/>
          <w:szCs w:val="20"/>
        </w:rPr>
      </w:pPr>
      <w:r>
        <w:rPr>
          <w:b/>
          <w:sz w:val="20"/>
          <w:szCs w:val="20"/>
        </w:rPr>
        <w:t>El artículo 3 de la Ley 24/2013, de 26 de diciembre, del Sector Eléctrico establece las Competencias de la Administración General del Estado respecto a las Autorizaciones de las instalaciones:</w:t>
      </w:r>
    </w:p>
    <w:p>
      <w:pPr>
        <w:pStyle w:val="Normal"/>
        <w:spacing w:lineRule="auto" w:line="240" w:before="0" w:after="0"/>
        <w:rPr>
          <w:b/>
          <w:b/>
          <w:sz w:val="8"/>
          <w:szCs w:val="8"/>
        </w:rPr>
      </w:pPr>
      <w:r>
        <w:rPr>
          <w:b/>
          <w:sz w:val="8"/>
          <w:szCs w:val="8"/>
        </w:rPr>
      </w:r>
    </w:p>
    <w:p>
      <w:pPr>
        <w:pStyle w:val="Normal"/>
        <w:spacing w:lineRule="auto" w:line="240" w:before="0" w:after="0"/>
        <w:ind w:left="708" w:hanging="0"/>
        <w:jc w:val="both"/>
        <w:rPr>
          <w:b/>
          <w:b/>
          <w:i/>
          <w:i/>
          <w:sz w:val="20"/>
          <w:szCs w:val="20"/>
        </w:rPr>
      </w:pPr>
      <w:r>
        <w:rPr>
          <w:b/>
          <w:i/>
          <w:sz w:val="20"/>
          <w:szCs w:val="20"/>
        </w:rPr>
        <w:t>“</w:t>
      </w:r>
      <w:r>
        <w:rPr>
          <w:b/>
          <w:i/>
          <w:sz w:val="20"/>
          <w:szCs w:val="20"/>
        </w:rPr>
        <w:t>Corresponden a la Administración General del Estado, en los términos establecidos en la presente ley, las siguientes competencias:</w:t>
      </w:r>
    </w:p>
    <w:p>
      <w:pPr>
        <w:pStyle w:val="Normal"/>
        <w:spacing w:lineRule="auto" w:line="240" w:before="0" w:after="0"/>
        <w:ind w:left="708" w:hanging="0"/>
        <w:jc w:val="both"/>
        <w:rPr>
          <w:b/>
          <w:b/>
          <w:i/>
          <w:i/>
          <w:sz w:val="20"/>
          <w:szCs w:val="20"/>
        </w:rPr>
      </w:pPr>
      <w:r>
        <w:rPr>
          <w:b/>
          <w:i/>
          <w:sz w:val="20"/>
          <w:szCs w:val="20"/>
        </w:rPr>
        <w:t>13. Autorizar las siguientes instalaciones eléctricas:</w:t>
      </w:r>
    </w:p>
    <w:p>
      <w:pPr>
        <w:pStyle w:val="Normal"/>
        <w:spacing w:lineRule="auto" w:line="240" w:before="0" w:after="0"/>
        <w:ind w:left="708" w:hanging="0"/>
        <w:jc w:val="both"/>
        <w:rPr>
          <w:rFonts w:ascii="Times New Roman" w:hAnsi="Times New Roman" w:eastAsia="Times New Roman" w:cs="Times New Roman"/>
          <w:b/>
          <w:b/>
          <w:i/>
          <w:i/>
          <w:sz w:val="20"/>
          <w:szCs w:val="20"/>
          <w:lang w:eastAsia="es-ES"/>
        </w:rPr>
      </w:pPr>
      <w:r>
        <w:rPr>
          <w:b/>
          <w:i/>
          <w:sz w:val="20"/>
          <w:szCs w:val="20"/>
        </w:rPr>
        <w:t>a) Instalaciones peninsulares de producción de energía eléctrica, incluyendo sus infraestructuras de evacuación, de potencia</w:t>
      </w:r>
      <w:r>
        <w:rPr>
          <w:rFonts w:eastAsia="Times New Roman" w:cs="Times New Roman"/>
          <w:b/>
          <w:i/>
          <w:sz w:val="20"/>
          <w:szCs w:val="20"/>
          <w:lang w:eastAsia="es-ES"/>
        </w:rPr>
        <w:t xml:space="preserve"> eléctrica instalada superior a 50 MW eléctricos, instalaciones de transporte primario peninsular y acometidas de tensión igual o superior a 380 kV”.</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Normal"/>
        <w:spacing w:lineRule="auto" w:line="240" w:before="0" w:after="0"/>
        <w:jc w:val="both"/>
        <w:rPr>
          <w:b/>
          <w:b/>
          <w:sz w:val="20"/>
          <w:szCs w:val="20"/>
        </w:rPr>
      </w:pPr>
      <w:r>
        <w:rPr>
          <w:b/>
          <w:sz w:val="20"/>
          <w:szCs w:val="20"/>
        </w:rPr>
        <w:t>Por otra parte, el Decreto 124/2010, de 22 de junio, del Gobierno de Aragón, por el que se regulan los procedimientos de priorización y autorización de instalaciones de producción de energía eléctrica a partir de la energía eólica en la Comunidad Autónoma de Aragón, en su artículo 1 establece que:</w:t>
      </w:r>
    </w:p>
    <w:p>
      <w:pPr>
        <w:pStyle w:val="Normal"/>
        <w:spacing w:lineRule="auto" w:line="240" w:before="0" w:after="0"/>
        <w:jc w:val="both"/>
        <w:rPr>
          <w:b/>
          <w:b/>
          <w:sz w:val="8"/>
          <w:szCs w:val="8"/>
        </w:rPr>
      </w:pPr>
      <w:r>
        <w:rPr>
          <w:b/>
          <w:sz w:val="8"/>
          <w:szCs w:val="8"/>
        </w:rPr>
      </w:r>
    </w:p>
    <w:p>
      <w:pPr>
        <w:pStyle w:val="Normal"/>
        <w:spacing w:lineRule="auto" w:line="240" w:before="0" w:after="0"/>
        <w:ind w:left="708" w:hanging="0"/>
        <w:jc w:val="both"/>
        <w:rPr>
          <w:b/>
          <w:b/>
          <w:i/>
          <w:i/>
          <w:sz w:val="20"/>
          <w:szCs w:val="20"/>
        </w:rPr>
      </w:pPr>
      <w:r>
        <w:rPr>
          <w:b/>
          <w:i/>
          <w:sz w:val="20"/>
          <w:szCs w:val="20"/>
        </w:rPr>
        <w:t>“</w:t>
      </w:r>
      <w:r>
        <w:rPr>
          <w:b/>
          <w:i/>
          <w:sz w:val="20"/>
          <w:szCs w:val="20"/>
        </w:rPr>
        <w:t>Constituye objeto de este Decreto el regular los procedimientos de priorización y autorización de instalaciones de producción de energía eléctrica a partir de la energía eólica con una potencia superior a 100 kW e igual o inferior a 50 MW, conectadas a la red de transporte o distribución eléctrica en la Comunidad Autónoma de Aragón”</w:t>
      </w:r>
    </w:p>
    <w:p>
      <w:pPr>
        <w:pStyle w:val="Normal"/>
        <w:spacing w:lineRule="auto" w:line="240" w:before="0" w:after="0"/>
        <w:ind w:left="708" w:hanging="0"/>
        <w:rPr>
          <w:b/>
          <w:b/>
          <w:i/>
          <w:i/>
          <w:sz w:val="20"/>
          <w:szCs w:val="20"/>
        </w:rPr>
      </w:pPr>
      <w:r>
        <w:rPr>
          <w:b/>
          <w:i/>
          <w:sz w:val="20"/>
          <w:szCs w:val="20"/>
        </w:rPr>
      </w:r>
    </w:p>
    <w:p>
      <w:pPr>
        <w:pStyle w:val="Normal"/>
        <w:spacing w:lineRule="auto" w:line="240" w:before="0" w:after="0"/>
        <w:jc w:val="both"/>
        <w:rPr>
          <w:b/>
          <w:b/>
          <w:sz w:val="20"/>
          <w:szCs w:val="20"/>
        </w:rPr>
      </w:pPr>
      <w:r>
        <w:rPr>
          <w:b/>
          <w:sz w:val="20"/>
          <w:szCs w:val="20"/>
        </w:rPr>
        <w:t>Es decir, una instalación de producción eléctrica de 49,5 MW debe ser autorizada por la Administración autonómica aragonesa y no por la Administración del Estado.</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Normal"/>
        <w:spacing w:lineRule="auto" w:line="240" w:before="0" w:after="0"/>
        <w:jc w:val="both"/>
        <w:rPr>
          <w:rFonts w:cs="Arial"/>
          <w:b/>
          <w:b/>
          <w:sz w:val="20"/>
          <w:szCs w:val="20"/>
        </w:rPr>
      </w:pPr>
      <w:r>
        <w:rPr>
          <w:rFonts w:cs="Arial"/>
          <w:b/>
          <w:sz w:val="20"/>
          <w:szCs w:val="20"/>
        </w:rPr>
        <w:t>6.2. El artículo 6.4 del Código Civil establece que:</w:t>
      </w:r>
    </w:p>
    <w:p>
      <w:pPr>
        <w:pStyle w:val="Normal"/>
        <w:spacing w:lineRule="auto" w:line="240" w:before="0" w:after="0"/>
        <w:jc w:val="both"/>
        <w:rPr>
          <w:rFonts w:cs="Arial"/>
          <w:b/>
          <w:b/>
          <w:sz w:val="8"/>
          <w:szCs w:val="8"/>
        </w:rPr>
      </w:pPr>
      <w:r>
        <w:rPr>
          <w:rFonts w:cs="Arial"/>
          <w:b/>
          <w:sz w:val="8"/>
          <w:szCs w:val="8"/>
        </w:rPr>
      </w:r>
    </w:p>
    <w:p>
      <w:pPr>
        <w:pStyle w:val="Normal"/>
        <w:spacing w:lineRule="auto" w:line="240" w:before="0" w:after="0"/>
        <w:ind w:left="708" w:hanging="0"/>
        <w:jc w:val="both"/>
        <w:rPr>
          <w:rFonts w:cs="Arial"/>
          <w:b/>
          <w:b/>
          <w:i/>
          <w:i/>
          <w:sz w:val="20"/>
          <w:szCs w:val="20"/>
          <w:u w:val="single"/>
        </w:rPr>
      </w:pPr>
      <w:r>
        <w:rPr>
          <w:rFonts w:cs="Arial"/>
          <w:b/>
          <w:i/>
          <w:sz w:val="20"/>
          <w:szCs w:val="20"/>
          <w:u w:val="single"/>
        </w:rPr>
        <w:t>“</w:t>
      </w:r>
      <w:r>
        <w:rPr>
          <w:rFonts w:cs="Arial"/>
          <w:b/>
          <w:i/>
          <w:sz w:val="20"/>
          <w:szCs w:val="20"/>
          <w:u w:val="single"/>
        </w:rPr>
        <w:t xml:space="preserve">los actos realizados al amparo del texto de una norma que persiga un resultado prohibido por el ordenamiento jurídico o contrario a él se consideran ejecutados en fraude de ley y no impedirán la debida aplicación de la norma que se hubiera tratado de eludir”  </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Default"/>
        <w:jc w:val="both"/>
        <w:rPr>
          <w:rFonts w:ascii="Calibri" w:hAnsi="Calibri" w:asciiTheme="minorHAnsi" w:hAnsiTheme="minorHAnsi"/>
          <w:b/>
          <w:b/>
          <w:color w:val="auto"/>
          <w:sz w:val="20"/>
          <w:szCs w:val="20"/>
        </w:rPr>
      </w:pPr>
      <w:r>
        <w:rPr>
          <w:rFonts w:ascii="Calibri" w:hAnsi="Calibri" w:asciiTheme="minorHAnsi" w:hAnsiTheme="minorHAnsi"/>
          <w:b/>
          <w:color w:val="auto"/>
          <w:sz w:val="20"/>
          <w:szCs w:val="20"/>
        </w:rPr>
        <w:t xml:space="preserve">7. </w:t>
      </w:r>
      <w:r>
        <w:rPr>
          <w:rFonts w:ascii="Calibri" w:hAnsi="Calibri" w:asciiTheme="minorHAnsi" w:hAnsiTheme="minorHAnsi"/>
          <w:b/>
          <w:color w:val="auto"/>
          <w:sz w:val="20"/>
          <w:szCs w:val="20"/>
          <w:u w:val="single"/>
        </w:rPr>
        <w:t>LA ACUMULACIÓN DE EXPEDIENTES FUE CONTRARIA A LEY YA QUE NO ES EL MISMO ÓRGANO QUIEN DEBÍA TRAMITAR Y RESOLVER EL PROCEDIMIENTO</w:t>
      </w:r>
    </w:p>
    <w:p>
      <w:pPr>
        <w:pStyle w:val="Default"/>
        <w:jc w:val="both"/>
        <w:rPr>
          <w:rFonts w:ascii="Calibri" w:hAnsi="Calibri" w:asciiTheme="minorHAnsi" w:hAnsiTheme="minorHAnsi"/>
          <w:b/>
          <w:b/>
          <w:color w:val="auto"/>
          <w:sz w:val="8"/>
          <w:szCs w:val="8"/>
        </w:rPr>
      </w:pPr>
      <w:r>
        <w:rPr>
          <w:rFonts w:asciiTheme="minorHAnsi" w:hAnsiTheme="minorHAnsi" w:ascii="Calibri" w:hAnsi="Calibri"/>
          <w:b/>
          <w:color w:val="auto"/>
          <w:sz w:val="8"/>
          <w:szCs w:val="8"/>
        </w:rPr>
      </w:r>
    </w:p>
    <w:p>
      <w:pPr>
        <w:pStyle w:val="Normal"/>
        <w:spacing w:lineRule="auto" w:line="240" w:before="0" w:after="0"/>
        <w:jc w:val="both"/>
        <w:rPr>
          <w:b/>
          <w:b/>
          <w:sz w:val="20"/>
          <w:szCs w:val="20"/>
        </w:rPr>
      </w:pPr>
      <w:r>
        <w:rPr>
          <w:b/>
          <w:sz w:val="20"/>
          <w:szCs w:val="20"/>
        </w:rPr>
        <w:t>7.1. El artículo 57 de la Ley 39/2015, de 1 de octubre, del Procedimiento Administrativo Común de las Administraciones Públicas  establece que:</w:t>
      </w:r>
    </w:p>
    <w:p>
      <w:pPr>
        <w:pStyle w:val="Normal"/>
        <w:spacing w:lineRule="auto" w:line="240" w:before="0" w:after="0"/>
        <w:rPr>
          <w:b/>
          <w:b/>
          <w:sz w:val="8"/>
          <w:szCs w:val="8"/>
        </w:rPr>
      </w:pPr>
      <w:r>
        <w:rPr>
          <w:b/>
          <w:sz w:val="8"/>
          <w:szCs w:val="8"/>
        </w:rPr>
      </w:r>
    </w:p>
    <w:p>
      <w:pPr>
        <w:pStyle w:val="Normal"/>
        <w:spacing w:lineRule="auto" w:line="240" w:before="0" w:after="0"/>
        <w:ind w:left="708" w:hanging="0"/>
        <w:jc w:val="both"/>
        <w:rPr>
          <w:b/>
          <w:b/>
          <w:i/>
          <w:i/>
          <w:sz w:val="20"/>
          <w:szCs w:val="20"/>
        </w:rPr>
      </w:pPr>
      <w:r>
        <w:rPr>
          <w:b/>
          <w:i/>
          <w:sz w:val="20"/>
          <w:szCs w:val="20"/>
        </w:rPr>
        <w:t>“</w:t>
      </w:r>
      <w:r>
        <w:rPr>
          <w:b/>
          <w:i/>
          <w:sz w:val="20"/>
          <w:szCs w:val="20"/>
        </w:rPr>
        <w:t xml:space="preserve">el órgano administrativo que inicie o tramite un procedimiento, cualquiera que haya sido la forma de su iniciación, podrá disponer, de oficio o a instancia de parte, su acumulación a otros con los que guarde identidad sustancial o íntima conexión, </w:t>
      </w:r>
      <w:r>
        <w:rPr>
          <w:b/>
          <w:i/>
          <w:sz w:val="20"/>
          <w:szCs w:val="20"/>
          <w:u w:val="single"/>
        </w:rPr>
        <w:t>siempre que sea el mismo órgano quien deba tramitar y resolver el procedimiento”</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Default"/>
        <w:jc w:val="both"/>
        <w:rPr>
          <w:rFonts w:ascii="Calibri" w:hAnsi="Calibri" w:asciiTheme="minorHAnsi" w:hAnsiTheme="minorHAnsi"/>
          <w:b/>
          <w:b/>
          <w:color w:val="auto"/>
          <w:sz w:val="20"/>
          <w:szCs w:val="20"/>
        </w:rPr>
      </w:pPr>
      <w:r>
        <w:rPr>
          <w:rFonts w:ascii="Calibri" w:hAnsi="Calibri" w:asciiTheme="minorHAnsi" w:hAnsiTheme="minorHAnsi"/>
          <w:b/>
          <w:color w:val="auto"/>
          <w:sz w:val="20"/>
          <w:szCs w:val="20"/>
        </w:rPr>
        <w:t>Pero resulta que todas las instalaciones eólicas, al ser de menos de 50 MW, debían ser tramitadas por la administración autonómica y, sin embargo, si se acumulaban, ya no era el mismo órgano quien debía tramitar el procedimiento, ya que al ser la suma de más de 50 MW ya correspondería a la Administración estatal. Por tanto, la acumulación que se efectuó fue contraria a lo legalmente establecido.</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Normal"/>
        <w:spacing w:lineRule="auto" w:line="240" w:before="0" w:after="0"/>
        <w:jc w:val="both"/>
        <w:rPr>
          <w:rFonts w:ascii="Calibri" w:hAnsi="Calibri"/>
          <w:b/>
          <w:b/>
          <w:sz w:val="20"/>
          <w:szCs w:val="20"/>
        </w:rPr>
      </w:pPr>
      <w:r>
        <w:rPr>
          <w:b/>
          <w:sz w:val="20"/>
          <w:szCs w:val="20"/>
        </w:rPr>
        <w:t xml:space="preserve">8. </w:t>
      </w:r>
      <w:r>
        <w:rPr>
          <w:b/>
          <w:sz w:val="20"/>
          <w:szCs w:val="20"/>
          <w:u w:val="single"/>
        </w:rPr>
        <w:t xml:space="preserve">LA LEGISLACIÓN ARAGONESA </w:t>
      </w:r>
      <w:r>
        <w:rPr>
          <w:b/>
          <w:sz w:val="20"/>
          <w:szCs w:val="20"/>
          <w:u w:val="single"/>
        </w:rPr>
        <w:t>OBLIGABA A QUE LA TRAMITACIÓN DE LA AUTORIZACIÓN ADMINISTRATIVA PREVIA Y LA AUTORIZACIÓN ADMINISTRATIVA DE CONSTRUCCIÓN HUBIESEN SIDO CONJUNTAS</w:t>
      </w:r>
    </w:p>
    <w:p>
      <w:pPr>
        <w:pStyle w:val="Normal"/>
        <w:spacing w:lineRule="auto" w:line="240" w:before="0" w:after="0"/>
        <w:jc w:val="both"/>
        <w:rPr>
          <w:rFonts w:ascii="Calibri" w:hAnsi="Calibri"/>
          <w:b/>
          <w:b/>
          <w:sz w:val="8"/>
          <w:szCs w:val="8"/>
        </w:rPr>
      </w:pPr>
      <w:r>
        <w:rPr>
          <w:b/>
          <w:sz w:val="8"/>
          <w:szCs w:val="8"/>
        </w:rPr>
      </w:r>
    </w:p>
    <w:p>
      <w:pPr>
        <w:pStyle w:val="Normal"/>
        <w:spacing w:lineRule="auto" w:line="240" w:before="0" w:after="0"/>
        <w:jc w:val="both"/>
        <w:rPr>
          <w:rFonts w:ascii="Calibri" w:hAnsi="Calibri"/>
          <w:b/>
          <w:b/>
          <w:sz w:val="20"/>
          <w:szCs w:val="20"/>
        </w:rPr>
      </w:pPr>
      <w:r>
        <w:rPr>
          <w:b/>
          <w:sz w:val="20"/>
          <w:szCs w:val="20"/>
        </w:rPr>
        <w:t>8.1. El Artículo 7.2. del Decreto-Ley 2/2016, de 30 de agosto, de medidas urgentes para la ejecución de las sentencias dictadas en relación con los concursos convocados en el marco del Decreto 124/2010, de 22 de junio, y el impulso de la producción de energía eléctrica a partir de la energía eólica en Aragón establece lo siguiente:</w:t>
      </w:r>
    </w:p>
    <w:p>
      <w:pPr>
        <w:pStyle w:val="Normal"/>
        <w:spacing w:lineRule="auto" w:line="240" w:before="0" w:after="0"/>
        <w:jc w:val="both"/>
        <w:rPr>
          <w:rFonts w:ascii="Calibri" w:hAnsi="Calibri"/>
          <w:b/>
          <w:b/>
          <w:sz w:val="8"/>
          <w:szCs w:val="8"/>
        </w:rPr>
      </w:pPr>
      <w:r>
        <w:rPr>
          <w:b/>
          <w:sz w:val="8"/>
          <w:szCs w:val="8"/>
        </w:rPr>
      </w:r>
    </w:p>
    <w:p>
      <w:pPr>
        <w:pStyle w:val="NormalWeb"/>
        <w:shd w:val="clear" w:color="auto" w:fill="FFFFFF"/>
        <w:spacing w:beforeAutospacing="0" w:before="0" w:afterAutospacing="0" w:after="0"/>
        <w:ind w:left="708" w:hanging="0"/>
        <w:jc w:val="both"/>
        <w:rPr>
          <w:rFonts w:ascii="Calibri" w:hAnsi="Calibri"/>
          <w:b/>
          <w:b/>
          <w:i/>
          <w:i/>
          <w:sz w:val="20"/>
          <w:szCs w:val="20"/>
        </w:rPr>
      </w:pPr>
      <w:r>
        <w:rPr>
          <w:rFonts w:ascii="Calibri" w:hAnsi="Calibri"/>
          <w:b/>
          <w:bCs/>
          <w:i/>
          <w:sz w:val="20"/>
          <w:szCs w:val="20"/>
        </w:rPr>
        <w:t>“</w:t>
      </w:r>
      <w:r>
        <w:rPr>
          <w:rFonts w:ascii="Calibri" w:hAnsi="Calibri"/>
          <w:b/>
          <w:i/>
          <w:sz w:val="20"/>
          <w:szCs w:val="20"/>
          <w:u w:val="single"/>
        </w:rPr>
        <w:t>La autorización administrativa previa y la autorización administrativa de construcción de instalaciones de producción e infraestructuras de evacuación</w:t>
      </w:r>
      <w:r>
        <w:rPr>
          <w:rFonts w:ascii="Calibri" w:hAnsi="Calibri"/>
          <w:b/>
          <w:i/>
          <w:sz w:val="20"/>
          <w:szCs w:val="20"/>
        </w:rPr>
        <w:t xml:space="preserve"> pertenecientes a un único promotor eólico serán objeto de </w:t>
      </w:r>
      <w:r>
        <w:rPr>
          <w:rFonts w:ascii="Calibri" w:hAnsi="Calibri"/>
          <w:b/>
          <w:i/>
          <w:sz w:val="20"/>
          <w:szCs w:val="20"/>
          <w:u w:val="single"/>
        </w:rPr>
        <w:t>solicitud, tramitación y autorización conjunta</w:t>
      </w:r>
      <w:r>
        <w:rPr>
          <w:rFonts w:ascii="Calibri" w:hAnsi="Calibri"/>
          <w:b/>
          <w:i/>
          <w:sz w:val="20"/>
          <w:szCs w:val="20"/>
        </w:rPr>
        <w:t>”.</w:t>
      </w:r>
    </w:p>
    <w:p>
      <w:pPr>
        <w:pStyle w:val="Default"/>
        <w:jc w:val="both"/>
        <w:rPr>
          <w:rFonts w:ascii="Calibri" w:hAnsi="Calibri" w:cs="Avenir-Book" w:asciiTheme="minorHAnsi" w:hAnsiTheme="minorHAnsi"/>
          <w:b/>
          <w:b/>
          <w:color w:val="auto"/>
          <w:sz w:val="20"/>
          <w:szCs w:val="20"/>
        </w:rPr>
      </w:pPr>
      <w:r>
        <w:rPr>
          <w:rFonts w:cs="Avenir-Book" w:ascii="Calibri" w:hAnsi="Calibri"/>
          <w:b/>
          <w:color w:val="auto"/>
          <w:sz w:val="20"/>
          <w:szCs w:val="20"/>
        </w:rPr>
      </w:r>
    </w:p>
    <w:p>
      <w:pPr>
        <w:pStyle w:val="Normal"/>
        <w:spacing w:lineRule="auto" w:line="240" w:before="0" w:after="0"/>
        <w:jc w:val="both"/>
        <w:rPr>
          <w:rFonts w:eastAsia="DejaVuSans-Bold" w:cs="DejaVuSans-Bold"/>
          <w:b/>
          <w:b/>
          <w:bCs/>
          <w:sz w:val="20"/>
          <w:szCs w:val="20"/>
          <w:u w:val="single"/>
        </w:rPr>
      </w:pPr>
      <w:r>
        <w:rPr>
          <w:rFonts w:eastAsia="DejaVuSans-Bold" w:cs="DejaVuSans-Bold"/>
          <w:b/>
          <w:bCs/>
          <w:sz w:val="20"/>
          <w:szCs w:val="20"/>
        </w:rPr>
        <w:t xml:space="preserve">9. </w:t>
      </w:r>
      <w:r>
        <w:rPr>
          <w:rFonts w:eastAsia="DejaVuSans-Bold" w:cs="DejaVuSans-Bold"/>
          <w:b/>
          <w:bCs/>
          <w:sz w:val="20"/>
          <w:szCs w:val="20"/>
          <w:u w:val="single"/>
        </w:rPr>
        <w:t>EL CLUSTER MAESTRAZGO SE TRATA DE UN PLAN, NO DE UN PROYECTO Y DEBERÍA HABER SIDO EVALUADO COMO UN PLAN. NO HA EXISTIDO EVALUACIÓN AMBIENTAL ESTRATÉGICA</w:t>
      </w:r>
    </w:p>
    <w:p>
      <w:pPr>
        <w:pStyle w:val="Normal"/>
        <w:spacing w:lineRule="auto" w:line="240" w:before="0" w:after="0"/>
        <w:rPr>
          <w:rFonts w:eastAsia="DejaVuSans-Bold" w:cs="DejaVuSans-Bold"/>
          <w:b/>
          <w:b/>
          <w:bCs/>
          <w:sz w:val="8"/>
          <w:szCs w:val="8"/>
        </w:rPr>
      </w:pPr>
      <w:r>
        <w:rPr>
          <w:rFonts w:eastAsia="DejaVuSans-Bold" w:cs="DejaVuSans-Bold"/>
          <w:b/>
          <w:bCs/>
          <w:sz w:val="8"/>
          <w:szCs w:val="8"/>
        </w:rPr>
      </w:r>
    </w:p>
    <w:p>
      <w:pPr>
        <w:pStyle w:val="Normal"/>
        <w:spacing w:lineRule="auto" w:line="240" w:before="0" w:after="0"/>
        <w:jc w:val="both"/>
        <w:rPr>
          <w:rFonts w:cs="DejaVuSans"/>
          <w:b/>
          <w:b/>
          <w:sz w:val="20"/>
          <w:szCs w:val="20"/>
        </w:rPr>
      </w:pPr>
      <w:r>
        <w:rPr>
          <w:rFonts w:eastAsia="DejaVuSans-Bold" w:cs="DejaVuSans-Bold"/>
          <w:b/>
          <w:bCs/>
          <w:sz w:val="20"/>
          <w:szCs w:val="20"/>
        </w:rPr>
        <w:t>9.1. El Proyecto inicial se compone de 49 proyectos diferentes:</w:t>
      </w:r>
      <w:r>
        <w:rPr>
          <w:rFonts w:cs="DejaVuSans"/>
          <w:b/>
          <w:sz w:val="20"/>
          <w:szCs w:val="20"/>
        </w:rPr>
        <w:t xml:space="preserve"> </w:t>
      </w:r>
      <w:r>
        <w:rPr>
          <w:rFonts w:eastAsia="DejaVuSans-Bold" w:cs="DejaVuSans-Bold"/>
          <w:b/>
          <w:bCs/>
          <w:sz w:val="20"/>
          <w:szCs w:val="20"/>
        </w:rPr>
        <w:t>22 parques eólicos, 10 subestaciones transformadoras</w:t>
      </w:r>
      <w:r>
        <w:rPr>
          <w:rFonts w:cs="DejaVuSans"/>
          <w:b/>
          <w:sz w:val="20"/>
          <w:szCs w:val="20"/>
        </w:rPr>
        <w:t xml:space="preserve"> y </w:t>
      </w:r>
      <w:r>
        <w:rPr>
          <w:rFonts w:eastAsia="DejaVuSans-Bold" w:cs="DejaVuSans-Bold"/>
          <w:b/>
          <w:bCs/>
          <w:sz w:val="20"/>
          <w:szCs w:val="20"/>
        </w:rPr>
        <w:t xml:space="preserve">14 líneas de alta tensión </w:t>
      </w:r>
      <w:r>
        <w:rPr>
          <w:rFonts w:cs="DejaVuSans"/>
          <w:b/>
          <w:sz w:val="20"/>
          <w:szCs w:val="20"/>
        </w:rPr>
        <w:t>(LAT). Ello supone 46</w:t>
      </w:r>
      <w:r>
        <w:rPr>
          <w:rFonts w:eastAsia="DejaVuSans-Bold" w:cs="DejaVuSans-Bold"/>
          <w:b/>
          <w:bCs/>
          <w:sz w:val="20"/>
          <w:szCs w:val="20"/>
        </w:rPr>
        <w:t xml:space="preserve"> </w:t>
      </w:r>
      <w:r>
        <w:rPr>
          <w:rFonts w:cs="DejaVuSans"/>
          <w:b/>
          <w:sz w:val="20"/>
          <w:szCs w:val="20"/>
        </w:rPr>
        <w:t>proyectos. A lo cual se añaden, 2 parques fotovoltaicos (Masía I y II) y otra LAT que</w:t>
      </w:r>
      <w:r>
        <w:rPr>
          <w:rFonts w:eastAsia="DejaVuSans-Bold" w:cs="DejaVuSans-Bold"/>
          <w:b/>
          <w:bCs/>
          <w:sz w:val="20"/>
          <w:szCs w:val="20"/>
        </w:rPr>
        <w:t xml:space="preserve"> reúnen 982 MW</w:t>
      </w:r>
      <w:r>
        <w:rPr>
          <w:rFonts w:cs="DejaVuSans"/>
          <w:b/>
          <w:sz w:val="20"/>
          <w:szCs w:val="20"/>
        </w:rPr>
        <w:t>, (883 eólicos y 99 fotovoltaicos).</w:t>
      </w:r>
    </w:p>
    <w:p>
      <w:pPr>
        <w:pStyle w:val="Normal"/>
        <w:spacing w:lineRule="auto" w:line="240" w:before="0" w:after="0"/>
        <w:jc w:val="both"/>
        <w:rPr>
          <w:rFonts w:cs="DejaVuSans"/>
          <w:b/>
          <w:b/>
          <w:sz w:val="20"/>
          <w:szCs w:val="20"/>
        </w:rPr>
      </w:pPr>
      <w:r>
        <w:rPr>
          <w:rFonts w:cs="DejaVuSans"/>
          <w:b/>
          <w:sz w:val="20"/>
          <w:szCs w:val="20"/>
        </w:rPr>
      </w:r>
    </w:p>
    <w:p>
      <w:pPr>
        <w:pStyle w:val="Normal"/>
        <w:spacing w:lineRule="auto" w:line="240" w:before="0" w:after="0"/>
        <w:jc w:val="both"/>
        <w:rPr>
          <w:rFonts w:cs="DejaVuSans"/>
          <w:b/>
          <w:b/>
          <w:sz w:val="20"/>
          <w:szCs w:val="20"/>
        </w:rPr>
      </w:pPr>
      <w:r>
        <w:rPr>
          <w:rFonts w:cs="DejaVuSans"/>
          <w:b/>
          <w:sz w:val="20"/>
          <w:szCs w:val="20"/>
        </w:rPr>
        <w:t xml:space="preserve">Estamos hablando no sólo de 161 aerogeneradores, sino de </w:t>
      </w:r>
      <w:r>
        <w:rPr>
          <w:rFonts w:eastAsia="DejaVuSans-Bold" w:cs="DejaVuSans-Bold"/>
          <w:b/>
          <w:bCs/>
          <w:sz w:val="20"/>
          <w:szCs w:val="20"/>
        </w:rPr>
        <w:t xml:space="preserve">174 Km de línea eléctrica, con 709 apoyos, y 327 Km de pistas </w:t>
      </w:r>
      <w:r>
        <w:rPr>
          <w:rFonts w:cs="DejaVuSans"/>
          <w:b/>
          <w:sz w:val="20"/>
          <w:szCs w:val="20"/>
        </w:rPr>
        <w:t>(119 Km de accesos y 208 Km de interiores), además de  millones de metros cuadrados de desbroces.</w:t>
      </w:r>
    </w:p>
    <w:p>
      <w:pPr>
        <w:pStyle w:val="Normal"/>
        <w:spacing w:lineRule="auto" w:line="240" w:before="0" w:after="0"/>
        <w:rPr>
          <w:rFonts w:eastAsia="DejaVuSans-Bold" w:cs="DejaVuSans-Bold"/>
          <w:b/>
          <w:b/>
          <w:bCs/>
          <w:sz w:val="8"/>
          <w:szCs w:val="8"/>
        </w:rPr>
      </w:pPr>
      <w:r>
        <w:rPr>
          <w:rFonts w:eastAsia="DejaVuSans-Bold" w:cs="DejaVuSans-Bold"/>
          <w:b/>
          <w:bCs/>
          <w:sz w:val="8"/>
          <w:szCs w:val="8"/>
        </w:rPr>
      </w:r>
    </w:p>
    <w:p>
      <w:pPr>
        <w:pStyle w:val="Normal"/>
        <w:spacing w:lineRule="auto" w:line="240" w:before="0" w:after="0"/>
        <w:rPr>
          <w:rFonts w:eastAsia="DejaVuSans-Bold" w:cs="DejaVuSans-Bold"/>
          <w:b/>
          <w:b/>
          <w:bCs/>
          <w:sz w:val="20"/>
          <w:szCs w:val="20"/>
        </w:rPr>
      </w:pPr>
      <w:hyperlink r:id="rId5">
        <w:r>
          <w:rPr>
            <w:rStyle w:val="EnlacedeInternet"/>
            <w:rFonts w:eastAsia="DejaVuSans-Bold" w:cs="DejaVuSans-Bold"/>
            <w:b/>
            <w:bCs/>
            <w:color w:val="auto"/>
            <w:sz w:val="20"/>
            <w:szCs w:val="20"/>
          </w:rPr>
          <w:t>https://www.boe.es/diario_boe/txt.php?id=BOE-B-2021-10342</w:t>
        </w:r>
      </w:hyperlink>
    </w:p>
    <w:p>
      <w:pPr>
        <w:pStyle w:val="Normal"/>
        <w:spacing w:lineRule="auto" w:line="240" w:before="0" w:after="0"/>
        <w:rPr>
          <w:rFonts w:eastAsia="DejaVuSans-Bold" w:cs="DejaVuSans-Bold"/>
          <w:b/>
          <w:b/>
          <w:bCs/>
          <w:sz w:val="8"/>
          <w:szCs w:val="8"/>
        </w:rPr>
      </w:pPr>
      <w:r>
        <w:rPr>
          <w:rFonts w:eastAsia="DejaVuSans-Bold" w:cs="DejaVuSans-Bold"/>
          <w:b/>
          <w:bCs/>
          <w:sz w:val="8"/>
          <w:szCs w:val="8"/>
        </w:rPr>
      </w:r>
    </w:p>
    <w:p>
      <w:pPr>
        <w:pStyle w:val="Normal"/>
        <w:spacing w:lineRule="auto" w:line="240" w:before="0" w:after="0"/>
        <w:rPr>
          <w:rFonts w:eastAsia="DejaVuSans-Bold" w:cs="DejaVuSans-Bold"/>
          <w:b/>
          <w:b/>
          <w:bCs/>
          <w:sz w:val="20"/>
          <w:szCs w:val="20"/>
        </w:rPr>
      </w:pPr>
      <w:hyperlink r:id="rId6">
        <w:r>
          <w:rPr>
            <w:rStyle w:val="EnlacedeInternet"/>
            <w:rFonts w:eastAsia="DejaVuSans-Bold" w:cs="DejaVuSans-Bold"/>
            <w:b/>
            <w:bCs/>
            <w:color w:val="auto"/>
            <w:sz w:val="20"/>
            <w:szCs w:val="20"/>
          </w:rPr>
          <w:t>https://www.boe.es/diario_boe/txt.php?id=BOE-B-2021-8930</w:t>
        </w:r>
      </w:hyperlink>
    </w:p>
    <w:p>
      <w:pPr>
        <w:pStyle w:val="Normal"/>
        <w:spacing w:lineRule="auto" w:line="240" w:before="0" w:after="0"/>
        <w:rPr>
          <w:rFonts w:eastAsia="DejaVuSans-Bold" w:cs="DejaVuSans-Bold"/>
          <w:b/>
          <w:b/>
          <w:bCs/>
          <w:sz w:val="20"/>
          <w:szCs w:val="20"/>
        </w:rPr>
      </w:pPr>
      <w:r>
        <w:rPr>
          <w:rFonts w:eastAsia="DejaVuSans-Bold" w:cs="DejaVuSans-Bold"/>
          <w:b/>
          <w:bCs/>
          <w:sz w:val="20"/>
          <w:szCs w:val="20"/>
        </w:rPr>
      </w:r>
    </w:p>
    <w:p>
      <w:pPr>
        <w:pStyle w:val="Normal"/>
        <w:spacing w:lineRule="auto" w:line="240" w:before="0" w:after="0"/>
        <w:jc w:val="both"/>
        <w:rPr>
          <w:rFonts w:eastAsia="DejaVuSans-Bold" w:cs="DejaVuSans-Bold"/>
          <w:b/>
          <w:b/>
          <w:bCs/>
          <w:sz w:val="20"/>
          <w:szCs w:val="20"/>
        </w:rPr>
      </w:pPr>
      <w:r>
        <w:rPr>
          <w:rFonts w:eastAsia="DejaVuSans-Bold" w:cs="DejaVuSans-Bold"/>
          <w:b/>
          <w:bCs/>
          <w:sz w:val="20"/>
          <w:szCs w:val="20"/>
        </w:rPr>
        <w:t>9.2. Tratándose, inicialmente, de 46 proyectos, parece evidente el hecho de que no estamos hablando de la evaluación ambiental de un “proyecto” sino de un Plan compuesto por 46 proyectos.</w:t>
      </w:r>
    </w:p>
    <w:p>
      <w:pPr>
        <w:pStyle w:val="Normal"/>
        <w:spacing w:lineRule="auto" w:line="240" w:before="0" w:after="0"/>
        <w:rPr>
          <w:rFonts w:eastAsia="DejaVuSans-Bold" w:cs="DejaVuSans-Bold"/>
          <w:b/>
          <w:b/>
          <w:bCs/>
          <w:sz w:val="20"/>
          <w:szCs w:val="20"/>
        </w:rPr>
      </w:pPr>
      <w:r>
        <w:rPr>
          <w:rFonts w:eastAsia="DejaVuSans-Bold" w:cs="DejaVuSans-Bold"/>
          <w:b/>
          <w:bCs/>
          <w:sz w:val="20"/>
          <w:szCs w:val="20"/>
        </w:rPr>
      </w:r>
    </w:p>
    <w:p>
      <w:pPr>
        <w:pStyle w:val="Normal"/>
        <w:spacing w:lineRule="auto" w:line="240" w:before="0" w:after="0"/>
        <w:jc w:val="both"/>
        <w:rPr>
          <w:rFonts w:eastAsia="DejaVuSans-Bold" w:cs="DejaVuSans"/>
          <w:b/>
          <w:b/>
          <w:sz w:val="20"/>
          <w:szCs w:val="20"/>
        </w:rPr>
      </w:pPr>
      <w:r>
        <w:rPr>
          <w:rFonts w:eastAsia="DejaVuSans-Bold" w:cs="DejaVuSans-Bold"/>
          <w:b/>
          <w:bCs/>
          <w:sz w:val="20"/>
          <w:szCs w:val="20"/>
        </w:rPr>
        <w:t>9.3. Es decir, previamente se debería haber elaborado un Plan. El artículo 5 de la Ley 24/2013</w:t>
      </w:r>
      <w:r>
        <w:rPr>
          <w:rFonts w:eastAsia="DejaVuSans-Bold" w:cs="DejaVuSans"/>
          <w:b/>
          <w:sz w:val="20"/>
          <w:szCs w:val="20"/>
        </w:rPr>
        <w:t>, de 26 de diciembre, del Sector Eléctrico</w:t>
      </w:r>
      <w:r>
        <w:rPr>
          <w:rFonts w:eastAsia="DejaVuSans-Bold" w:cs="DejaVuSans-Bold"/>
          <w:b/>
          <w:bCs/>
          <w:sz w:val="20"/>
          <w:szCs w:val="20"/>
        </w:rPr>
        <w:t xml:space="preserve"> </w:t>
      </w:r>
      <w:r>
        <w:rPr>
          <w:rFonts w:eastAsia="DejaVuSans-Bold" w:cs="DejaVuSans"/>
          <w:b/>
          <w:sz w:val="20"/>
          <w:szCs w:val="20"/>
        </w:rPr>
        <w:t>establece que:</w:t>
      </w:r>
    </w:p>
    <w:p>
      <w:pPr>
        <w:pStyle w:val="Normal"/>
        <w:spacing w:lineRule="auto" w:line="240" w:before="0" w:after="0"/>
        <w:rPr>
          <w:rFonts w:eastAsia="DejaVuSans-Bold" w:cs="DejaVuSans"/>
          <w:b/>
          <w:b/>
          <w:sz w:val="8"/>
          <w:szCs w:val="8"/>
        </w:rPr>
      </w:pPr>
      <w:r>
        <w:rPr>
          <w:rFonts w:eastAsia="DejaVuSans-Bold" w:cs="DejaVuSans"/>
          <w:b/>
          <w:sz w:val="8"/>
          <w:szCs w:val="8"/>
        </w:rPr>
      </w:r>
    </w:p>
    <w:p>
      <w:pPr>
        <w:pStyle w:val="Normal"/>
        <w:spacing w:lineRule="auto" w:line="240" w:before="0" w:after="0"/>
        <w:ind w:left="708" w:hanging="0"/>
        <w:jc w:val="both"/>
        <w:rPr>
          <w:rFonts w:eastAsia="DejaVuSans-Bold" w:cs="DejaVuSans-Bold"/>
          <w:b/>
          <w:b/>
          <w:bCs/>
          <w:sz w:val="20"/>
          <w:szCs w:val="20"/>
        </w:rPr>
      </w:pPr>
      <w:r>
        <w:rPr>
          <w:rFonts w:eastAsia="DejaVuSans-Bold" w:cs="DejaVuSans"/>
          <w:b/>
          <w:sz w:val="20"/>
          <w:szCs w:val="20"/>
        </w:rPr>
        <w:t>“</w:t>
      </w:r>
      <w:r>
        <w:rPr>
          <w:rFonts w:eastAsia="DejaVuSans-Bold" w:cs="DejaVuSans-BoldOblique"/>
          <w:b/>
          <w:bCs/>
          <w:i/>
          <w:iCs/>
          <w:sz w:val="20"/>
          <w:szCs w:val="20"/>
        </w:rPr>
        <w:t xml:space="preserve">La planificación de las instalaciones de </w:t>
      </w:r>
      <w:r>
        <w:rPr>
          <w:rFonts w:eastAsia="DejaVuSans-Bold" w:cs="DejaVuSans-Oblique"/>
          <w:b/>
          <w:i/>
          <w:iCs/>
          <w:sz w:val="20"/>
          <w:szCs w:val="20"/>
        </w:rPr>
        <w:t>transporte y distribución</w:t>
      </w:r>
      <w:r>
        <w:rPr>
          <w:rFonts w:eastAsia="DejaVuSans-Bold" w:cs="DejaVuSans-Bold"/>
          <w:b/>
          <w:bCs/>
          <w:sz w:val="20"/>
          <w:szCs w:val="20"/>
        </w:rPr>
        <w:t xml:space="preserve"> </w:t>
      </w:r>
      <w:r>
        <w:rPr>
          <w:rFonts w:eastAsia="DejaVuSans-Bold" w:cs="DejaVuSans-Oblique"/>
          <w:b/>
          <w:i/>
          <w:iCs/>
          <w:sz w:val="20"/>
          <w:szCs w:val="20"/>
        </w:rPr>
        <w:t>de energía eléctrica, que se ubiquen o discurran en cualquier clase y categoría de</w:t>
      </w:r>
      <w:r>
        <w:rPr>
          <w:rFonts w:eastAsia="DejaVuSans-Bold" w:cs="DejaVuSans-Bold"/>
          <w:b/>
          <w:bCs/>
          <w:sz w:val="20"/>
          <w:szCs w:val="20"/>
        </w:rPr>
        <w:t xml:space="preserve"> </w:t>
      </w:r>
      <w:r>
        <w:rPr>
          <w:rFonts w:eastAsia="DejaVuSans-Bold" w:cs="DejaVuSans-Oblique"/>
          <w:b/>
          <w:i/>
          <w:iCs/>
          <w:sz w:val="20"/>
          <w:szCs w:val="20"/>
        </w:rPr>
        <w:t xml:space="preserve">suelo, </w:t>
      </w:r>
      <w:r>
        <w:rPr>
          <w:rFonts w:eastAsia="DejaVuSans-Bold" w:cs="DejaVuSans-BoldOblique"/>
          <w:b/>
          <w:bCs/>
          <w:i/>
          <w:iCs/>
          <w:sz w:val="20"/>
          <w:szCs w:val="20"/>
        </w:rPr>
        <w:t>deberá tenerse en cuenta en el correspondiente instrumento de</w:t>
      </w:r>
      <w:r>
        <w:rPr>
          <w:rFonts w:eastAsia="DejaVuSans-Bold" w:cs="DejaVuSans-Bold"/>
          <w:b/>
          <w:bCs/>
          <w:sz w:val="20"/>
          <w:szCs w:val="20"/>
        </w:rPr>
        <w:t xml:space="preserve"> </w:t>
      </w:r>
      <w:r>
        <w:rPr>
          <w:rFonts w:eastAsia="DejaVuSans-Bold" w:cs="DejaVuSans-BoldOblique"/>
          <w:b/>
          <w:bCs/>
          <w:i/>
          <w:iCs/>
          <w:sz w:val="20"/>
          <w:szCs w:val="20"/>
        </w:rPr>
        <w:t>ordenación del territorio y urbanístico</w:t>
      </w:r>
      <w:r>
        <w:rPr>
          <w:rFonts w:eastAsia="DejaVuSans-Bold" w:cs="DejaVuSans-Oblique"/>
          <w:b/>
          <w:i/>
          <w:iCs/>
          <w:sz w:val="20"/>
          <w:szCs w:val="20"/>
        </w:rPr>
        <w:t>, el cual deberá precisar las posibles</w:t>
      </w:r>
      <w:r>
        <w:rPr>
          <w:rFonts w:eastAsia="DejaVuSans-Bold" w:cs="DejaVuSans-Bold"/>
          <w:b/>
          <w:bCs/>
          <w:sz w:val="20"/>
          <w:szCs w:val="20"/>
        </w:rPr>
        <w:t xml:space="preserve"> </w:t>
      </w:r>
      <w:r>
        <w:rPr>
          <w:rFonts w:eastAsia="DejaVuSans-Bold" w:cs="DejaVuSans-Oblique"/>
          <w:b/>
          <w:i/>
          <w:iCs/>
          <w:sz w:val="20"/>
          <w:szCs w:val="20"/>
        </w:rPr>
        <w:t xml:space="preserve">instalaciones </w:t>
      </w:r>
      <w:r>
        <w:rPr>
          <w:rFonts w:eastAsia="DejaVuSans-Bold" w:cs="DejaVuSans-BoldOblique"/>
          <w:b/>
          <w:bCs/>
          <w:i/>
          <w:iCs/>
          <w:sz w:val="20"/>
          <w:szCs w:val="20"/>
        </w:rPr>
        <w:t>y calificar adecuadamente los terrenos, estableciendo, en</w:t>
      </w:r>
      <w:r>
        <w:rPr>
          <w:rFonts w:eastAsia="DejaVuSans-Bold" w:cs="DejaVuSans-Bold"/>
          <w:b/>
          <w:bCs/>
          <w:sz w:val="20"/>
          <w:szCs w:val="20"/>
        </w:rPr>
        <w:t xml:space="preserve"> </w:t>
      </w:r>
      <w:r>
        <w:rPr>
          <w:rFonts w:eastAsia="DejaVuSans-Bold" w:cs="DejaVuSans-BoldOblique"/>
          <w:b/>
          <w:bCs/>
          <w:i/>
          <w:iCs/>
          <w:sz w:val="20"/>
          <w:szCs w:val="20"/>
        </w:rPr>
        <w:t>ambos casos, las reservas de suelo necesarias para la ubicación de las</w:t>
      </w:r>
      <w:r>
        <w:rPr>
          <w:rFonts w:eastAsia="DejaVuSans-Bold" w:cs="DejaVuSans-Bold"/>
          <w:b/>
          <w:bCs/>
          <w:sz w:val="20"/>
          <w:szCs w:val="20"/>
        </w:rPr>
        <w:t xml:space="preserve"> </w:t>
      </w:r>
      <w:r>
        <w:rPr>
          <w:rFonts w:eastAsia="DejaVuSans-Bold" w:cs="DejaVuSans-BoldOblique"/>
          <w:b/>
          <w:bCs/>
          <w:i/>
          <w:iCs/>
          <w:sz w:val="20"/>
          <w:szCs w:val="20"/>
        </w:rPr>
        <w:t>nuevas instalaciones y la protección de las existentes”</w:t>
      </w:r>
      <w:r>
        <w:rPr>
          <w:rFonts w:eastAsia="DejaVuSans-Bold" w:cs="DejaVuSans-Bold"/>
          <w:b/>
          <w:bCs/>
          <w:sz w:val="20"/>
          <w:szCs w:val="20"/>
        </w:rPr>
        <w:t xml:space="preserve">. </w:t>
      </w:r>
    </w:p>
    <w:p>
      <w:pPr>
        <w:pStyle w:val="Normal"/>
        <w:spacing w:lineRule="auto" w:line="240" w:before="0" w:after="0"/>
        <w:jc w:val="both"/>
        <w:rPr>
          <w:rFonts w:eastAsia="DejaVuSans-Bold" w:cs="DejaVuSans-Bold"/>
          <w:b/>
          <w:b/>
          <w:bCs/>
          <w:sz w:val="20"/>
          <w:szCs w:val="20"/>
        </w:rPr>
      </w:pPr>
      <w:r>
        <w:rPr>
          <w:rFonts w:eastAsia="DejaVuSans-Bold" w:cs="DejaVuSans-Bold"/>
          <w:b/>
          <w:bCs/>
          <w:sz w:val="20"/>
          <w:szCs w:val="20"/>
        </w:rPr>
      </w:r>
    </w:p>
    <w:p>
      <w:pPr>
        <w:pStyle w:val="Normal"/>
        <w:spacing w:lineRule="auto" w:line="240" w:before="0" w:after="0"/>
        <w:jc w:val="both"/>
        <w:rPr>
          <w:rFonts w:eastAsia="DejaVuSans-Bold" w:cs="DejaVuSans-Bold"/>
          <w:b/>
          <w:b/>
          <w:bCs/>
          <w:sz w:val="20"/>
          <w:szCs w:val="20"/>
        </w:rPr>
      </w:pPr>
      <w:r>
        <w:rPr>
          <w:rFonts w:eastAsia="DejaVuSans-Bold" w:cs="DejaVuSans"/>
          <w:b/>
          <w:sz w:val="20"/>
          <w:szCs w:val="20"/>
        </w:rPr>
        <w:t>Dado que según el</w:t>
      </w:r>
      <w:r>
        <w:rPr>
          <w:rFonts w:eastAsia="DejaVuSans-Bold" w:cs="DejaVuSans-Bold"/>
          <w:b/>
          <w:bCs/>
          <w:sz w:val="20"/>
          <w:szCs w:val="20"/>
        </w:rPr>
        <w:t xml:space="preserve"> </w:t>
      </w:r>
      <w:r>
        <w:rPr>
          <w:rFonts w:eastAsia="DejaVuSans-Bold" w:cs="DejaVuSans"/>
          <w:b/>
          <w:sz w:val="20"/>
          <w:szCs w:val="20"/>
        </w:rPr>
        <w:t>artículo 21 de la misma Ley la producción de energía incluye las infraestructuras de</w:t>
      </w:r>
      <w:r>
        <w:rPr>
          <w:rFonts w:eastAsia="DejaVuSans-Bold" w:cs="DejaVuSans-Bold"/>
          <w:b/>
          <w:bCs/>
          <w:sz w:val="20"/>
          <w:szCs w:val="20"/>
        </w:rPr>
        <w:t xml:space="preserve"> </w:t>
      </w:r>
      <w:r>
        <w:rPr>
          <w:rFonts w:eastAsia="DejaVuSans-Bold" w:cs="DejaVuSans"/>
          <w:b/>
          <w:sz w:val="20"/>
          <w:szCs w:val="20"/>
        </w:rPr>
        <w:t>evacuación (transformación y conexión a red de transporte) por aplicación</w:t>
      </w:r>
      <w:r>
        <w:rPr>
          <w:rFonts w:eastAsia="DejaVuSans-Bold" w:cs="DejaVuSans-Bold"/>
          <w:b/>
          <w:bCs/>
          <w:sz w:val="20"/>
          <w:szCs w:val="20"/>
        </w:rPr>
        <w:t xml:space="preserve"> </w:t>
      </w:r>
      <w:r>
        <w:rPr>
          <w:rFonts w:eastAsia="DejaVuSans-Bold" w:cs="DejaVuSans"/>
          <w:b/>
          <w:sz w:val="20"/>
          <w:szCs w:val="20"/>
        </w:rPr>
        <w:t>analógica, las instalaciones de producción de energía que alimentan, y deben</w:t>
      </w:r>
      <w:r>
        <w:rPr>
          <w:rFonts w:eastAsia="DejaVuSans-Bold" w:cs="DejaVuSans-Bold"/>
          <w:b/>
          <w:bCs/>
          <w:sz w:val="20"/>
          <w:szCs w:val="20"/>
        </w:rPr>
        <w:t xml:space="preserve"> </w:t>
      </w:r>
      <w:r>
        <w:rPr>
          <w:rFonts w:eastAsia="DejaVuSans-Bold" w:cs="DejaVuSans"/>
          <w:b/>
          <w:sz w:val="20"/>
          <w:szCs w:val="20"/>
        </w:rPr>
        <w:t>emplazarse lo más próximas posibles a dichas líneas de transporte, también</w:t>
      </w:r>
      <w:r>
        <w:rPr>
          <w:rFonts w:eastAsia="DejaVuSans-Bold" w:cs="DejaVuSans-Bold"/>
          <w:b/>
          <w:bCs/>
          <w:sz w:val="20"/>
          <w:szCs w:val="20"/>
        </w:rPr>
        <w:t xml:space="preserve"> </w:t>
      </w:r>
      <w:r>
        <w:rPr>
          <w:rFonts w:eastAsia="DejaVuSans-Bold" w:cs="DejaVuSans"/>
          <w:b/>
          <w:sz w:val="20"/>
          <w:szCs w:val="20"/>
        </w:rPr>
        <w:t>deberían estar contempladas en la planificación territorial y urbanística.</w:t>
      </w:r>
    </w:p>
    <w:p>
      <w:pPr>
        <w:pStyle w:val="Normal"/>
        <w:spacing w:lineRule="auto" w:line="240" w:before="0" w:after="0"/>
        <w:rPr>
          <w:rFonts w:eastAsia="DejaVuSans-Bold" w:cs="DejaVuSans-Bold"/>
          <w:b/>
          <w:b/>
          <w:bCs/>
          <w:sz w:val="20"/>
          <w:szCs w:val="20"/>
        </w:rPr>
      </w:pPr>
      <w:r>
        <w:rPr>
          <w:rFonts w:eastAsia="DejaVuSans-Bold" w:cs="DejaVuSans-Bold"/>
          <w:b/>
          <w:bCs/>
          <w:sz w:val="20"/>
          <w:szCs w:val="20"/>
        </w:rPr>
      </w:r>
    </w:p>
    <w:p>
      <w:pPr>
        <w:pStyle w:val="Normal"/>
        <w:spacing w:lineRule="auto" w:line="240" w:before="0" w:after="0"/>
        <w:jc w:val="both"/>
        <w:rPr>
          <w:rFonts w:eastAsia="DejaVuSans-Bold" w:cs="DejaVuSans-Bold"/>
          <w:b/>
          <w:b/>
          <w:bCs/>
          <w:sz w:val="20"/>
          <w:szCs w:val="20"/>
        </w:rPr>
      </w:pPr>
      <w:r>
        <w:rPr>
          <w:rFonts w:eastAsia="DejaVuSans-Bold" w:cs="DejaVuSans-Bold"/>
          <w:b/>
          <w:bCs/>
          <w:sz w:val="20"/>
          <w:szCs w:val="20"/>
        </w:rPr>
        <w:t>9.4. El Clúster Maestrazgo en sí constituye un Plan pero, sin embargo, se pretende tramitar como un proyecto, jugando además con una denominación indeterminada (“Clúster”) que genera inseguridad jurídica y que, en definitiva, impide llevar a efecto una “adecuada” evaluación de los efectos ambientales de una iniciativa de enormes dimensiones en un territorio extremadamente sensible desde el punto de vista ambiental y paisajístico.</w:t>
      </w:r>
    </w:p>
    <w:p>
      <w:pPr>
        <w:pStyle w:val="Normal"/>
        <w:spacing w:lineRule="auto" w:line="240" w:before="0" w:after="0"/>
        <w:jc w:val="both"/>
        <w:rPr>
          <w:rFonts w:eastAsia="DejaVuSans-Bold" w:cs="DejaVuSans-Bold"/>
          <w:b/>
          <w:b/>
          <w:bCs/>
          <w:sz w:val="20"/>
          <w:szCs w:val="20"/>
        </w:rPr>
      </w:pPr>
      <w:r>
        <w:rPr>
          <w:rFonts w:eastAsia="DejaVuSans-Bold" w:cs="DejaVuSans-Bold"/>
          <w:b/>
          <w:bCs/>
          <w:sz w:val="20"/>
          <w:szCs w:val="20"/>
        </w:rPr>
      </w:r>
    </w:p>
    <w:p>
      <w:pPr>
        <w:pStyle w:val="NormalWeb"/>
        <w:shd w:val="clear" w:color="auto" w:fill="FFFFFF"/>
        <w:spacing w:beforeAutospacing="0" w:before="0" w:afterAutospacing="0" w:after="0"/>
        <w:jc w:val="both"/>
        <w:rPr>
          <w:rFonts w:ascii="Calibri" w:hAnsi="Calibri" w:asciiTheme="minorHAnsi" w:hAnsiTheme="minorHAnsi"/>
          <w:b/>
          <w:b/>
          <w:sz w:val="20"/>
          <w:szCs w:val="20"/>
        </w:rPr>
      </w:pPr>
      <w:r>
        <w:rPr>
          <w:rFonts w:ascii="Calibri" w:hAnsi="Calibri" w:asciiTheme="minorHAnsi" w:hAnsiTheme="minorHAnsi"/>
          <w:b/>
          <w:sz w:val="20"/>
          <w:szCs w:val="20"/>
        </w:rPr>
        <w:t xml:space="preserve">10. </w:t>
      </w:r>
      <w:r>
        <w:rPr>
          <w:rFonts w:ascii="Calibri" w:hAnsi="Calibri" w:asciiTheme="minorHAnsi" w:hAnsiTheme="minorHAnsi"/>
          <w:b/>
          <w:sz w:val="20"/>
          <w:szCs w:val="20"/>
          <w:u w:val="single"/>
        </w:rPr>
        <w:t>EXISTE OCUPACIÓN DE LUGARES DE INTERÉS GEOLÓGICO</w:t>
      </w:r>
    </w:p>
    <w:p>
      <w:pPr>
        <w:pStyle w:val="NormalWeb"/>
        <w:shd w:val="clear" w:color="auto" w:fill="FFFFFF"/>
        <w:spacing w:beforeAutospacing="0" w:before="0" w:afterAutospacing="0" w:after="0"/>
        <w:jc w:val="both"/>
        <w:rPr>
          <w:rFonts w:ascii="Calibri" w:hAnsi="Calibri" w:asciiTheme="minorHAnsi" w:hAnsiTheme="minorHAnsi"/>
          <w:b/>
          <w:b/>
          <w:i/>
          <w:i/>
          <w:sz w:val="8"/>
          <w:szCs w:val="8"/>
        </w:rPr>
      </w:pPr>
      <w:r>
        <w:rPr>
          <w:rFonts w:asciiTheme="minorHAnsi" w:hAnsiTheme="minorHAnsi" w:ascii="Calibri" w:hAnsi="Calibri"/>
          <w:b/>
          <w:i/>
          <w:sz w:val="8"/>
          <w:szCs w:val="8"/>
        </w:rPr>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asciiTheme="minorHAnsi" w:hAnsiTheme="minorHAnsi"/>
          <w:b/>
          <w:sz w:val="20"/>
          <w:szCs w:val="20"/>
        </w:rPr>
        <w:t>10.1. Las dos plantas fotovoltaicas y trece de los 20 parques eólicos afectan directamente a Lugares de Interés Geológico.</w:t>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b/>
          <w:sz w:val="20"/>
          <w:szCs w:val="20"/>
        </w:rPr>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asciiTheme="minorHAnsi" w:hAnsiTheme="minorHAnsi"/>
          <w:b/>
          <w:sz w:val="20"/>
          <w:szCs w:val="20"/>
        </w:rPr>
        <w:t>10.2. Existe afección a cuatro Lugares de Interés Geológico:</w:t>
      </w:r>
    </w:p>
    <w:p>
      <w:pPr>
        <w:pStyle w:val="NormalWeb"/>
        <w:shd w:val="clear" w:color="auto" w:fill="FFFFFF"/>
        <w:spacing w:beforeAutospacing="0" w:before="0" w:afterAutospacing="0" w:after="0"/>
        <w:jc w:val="both"/>
        <w:rPr>
          <w:rFonts w:ascii="Calibri" w:hAnsi="Calibri" w:cs="Arial" w:asciiTheme="minorHAnsi" w:hAnsiTheme="minorHAnsi"/>
          <w:b/>
          <w:b/>
          <w:sz w:val="8"/>
          <w:szCs w:val="8"/>
        </w:rPr>
      </w:pPr>
      <w:r>
        <w:rPr>
          <w:rFonts w:cs="Arial" w:ascii="Calibri" w:hAnsi="Calibri"/>
          <w:b/>
          <w:sz w:val="8"/>
          <w:szCs w:val="8"/>
        </w:rPr>
      </w:r>
    </w:p>
    <w:p>
      <w:pPr>
        <w:pStyle w:val="NormalWeb"/>
        <w:shd w:val="clear" w:color="auto" w:fill="FFFFFF"/>
        <w:spacing w:beforeAutospacing="0" w:before="0" w:afterAutospacing="0" w:after="0"/>
        <w:ind w:left="708" w:hanging="0"/>
        <w:jc w:val="both"/>
        <w:rPr>
          <w:rFonts w:ascii="Calibri" w:hAnsi="Calibri" w:cs="DejaVuSans" w:asciiTheme="minorHAnsi" w:hAnsiTheme="minorHAnsi"/>
          <w:b/>
          <w:b/>
          <w:sz w:val="20"/>
          <w:szCs w:val="20"/>
        </w:rPr>
      </w:pPr>
      <w:r>
        <w:rPr>
          <w:rFonts w:cs="Arial" w:ascii="Calibri" w:hAnsi="Calibri" w:asciiTheme="minorHAnsi" w:hAnsiTheme="minorHAnsi"/>
          <w:b/>
          <w:sz w:val="20"/>
          <w:szCs w:val="20"/>
        </w:rPr>
        <w:t xml:space="preserve">- </w:t>
      </w:r>
      <w:r>
        <w:rPr>
          <w:rFonts w:cs="Arial" w:ascii="Calibri" w:hAnsi="Calibri" w:asciiTheme="minorHAnsi" w:hAnsiTheme="minorHAnsi"/>
          <w:b/>
          <w:sz w:val="20"/>
          <w:szCs w:val="20"/>
          <w:u w:val="single"/>
        </w:rPr>
        <w:t>Polje de Mosqueruela</w:t>
      </w:r>
      <w:r>
        <w:rPr>
          <w:rFonts w:cs="Arial" w:ascii="Calibri" w:hAnsi="Calibri" w:asciiTheme="minorHAnsi" w:hAnsiTheme="minorHAnsi"/>
          <w:b/>
          <w:sz w:val="20"/>
          <w:szCs w:val="20"/>
        </w:rPr>
        <w:t>. C</w:t>
      </w:r>
      <w:r>
        <w:rPr>
          <w:rFonts w:cs="DejaVuSans" w:ascii="Calibri" w:hAnsi="Calibri" w:asciiTheme="minorHAnsi" w:hAnsiTheme="minorHAnsi"/>
          <w:b/>
          <w:sz w:val="20"/>
          <w:szCs w:val="20"/>
        </w:rPr>
        <w:t>olindante y rodeado completamente por las poligonales de La Vacada 3 y 4, y La Estrella 1, 2 y 3, y atravesado por la LAAT Estrella 2-Estrella 1 y ocupado por las Plantas fotovoltaicas Masía I y Masía II</w:t>
      </w:r>
    </w:p>
    <w:p>
      <w:pPr>
        <w:pStyle w:val="NormalWeb"/>
        <w:shd w:val="clear" w:color="auto" w:fill="FFFFFF"/>
        <w:spacing w:beforeAutospacing="0" w:before="0" w:afterAutospacing="0" w:after="0"/>
        <w:ind w:left="708" w:hanging="0"/>
        <w:jc w:val="both"/>
        <w:rPr>
          <w:rFonts w:ascii="Calibri" w:hAnsi="Calibri" w:cs="Arial" w:asciiTheme="minorHAnsi" w:hAnsiTheme="minorHAnsi"/>
          <w:b/>
          <w:b/>
          <w:sz w:val="8"/>
          <w:szCs w:val="8"/>
        </w:rPr>
      </w:pPr>
      <w:r>
        <w:rPr>
          <w:rFonts w:cs="Arial" w:ascii="Calibri" w:hAnsi="Calibri"/>
          <w:b/>
          <w:sz w:val="8"/>
          <w:szCs w:val="8"/>
        </w:rPr>
      </w:r>
    </w:p>
    <w:p>
      <w:pPr>
        <w:pStyle w:val="Normal"/>
        <w:spacing w:lineRule="auto" w:line="240" w:before="0" w:after="0"/>
        <w:ind w:left="708" w:hanging="0"/>
        <w:jc w:val="both"/>
        <w:rPr>
          <w:rFonts w:cs="DejaVuSans"/>
          <w:b/>
          <w:b/>
          <w:sz w:val="20"/>
          <w:szCs w:val="20"/>
        </w:rPr>
      </w:pPr>
      <w:r>
        <w:rPr>
          <w:rFonts w:cs="Arial"/>
          <w:b/>
          <w:sz w:val="20"/>
          <w:szCs w:val="20"/>
        </w:rPr>
        <w:t xml:space="preserve">- </w:t>
      </w:r>
      <w:r>
        <w:rPr>
          <w:rFonts w:cs="DejaVuSans"/>
          <w:b/>
          <w:sz w:val="20"/>
          <w:szCs w:val="20"/>
          <w:u w:val="single"/>
        </w:rPr>
        <w:t>Serie cretácica y modelado estructural de Cantavieja</w:t>
      </w:r>
      <w:r>
        <w:rPr>
          <w:rFonts w:cs="DejaVuSans"/>
          <w:b/>
          <w:sz w:val="20"/>
          <w:szCs w:val="20"/>
        </w:rPr>
        <w:t>. Impacto directo de la presencia de los aerogeneradores de los parques El Cid 1, 2, 3 y 4; de los parques Concejo 1, 2 y 3; de las SET el Cid I, El Cid 4 e Iglesuela, y de la líneas de evacuación Cid 3-Cid 4, Estrella 1-Iglesuela, Cabecero 2-Iglesuela y Cid 1-Cid 4-Iglesuela</w:t>
      </w:r>
    </w:p>
    <w:p>
      <w:pPr>
        <w:pStyle w:val="Normal"/>
        <w:spacing w:lineRule="auto" w:line="240" w:before="0" w:after="0"/>
        <w:ind w:left="708" w:hanging="0"/>
        <w:rPr>
          <w:rFonts w:cs="DejaVuSans"/>
          <w:b/>
          <w:b/>
          <w:sz w:val="8"/>
          <w:szCs w:val="8"/>
        </w:rPr>
      </w:pPr>
      <w:r>
        <w:rPr>
          <w:rFonts w:cs="DejaVuSans"/>
          <w:b/>
          <w:sz w:val="8"/>
          <w:szCs w:val="8"/>
        </w:rPr>
      </w:r>
    </w:p>
    <w:p>
      <w:pPr>
        <w:pStyle w:val="NormalWeb"/>
        <w:shd w:val="clear" w:color="auto" w:fill="FFFFFF"/>
        <w:spacing w:beforeAutospacing="0" w:before="0" w:afterAutospacing="0" w:after="0"/>
        <w:ind w:left="708" w:hanging="0"/>
        <w:jc w:val="both"/>
        <w:rPr>
          <w:rFonts w:ascii="Calibri" w:hAnsi="Calibri" w:cs="Arial" w:asciiTheme="minorHAnsi" w:hAnsiTheme="minorHAnsi"/>
          <w:b/>
          <w:b/>
          <w:sz w:val="20"/>
          <w:szCs w:val="20"/>
        </w:rPr>
      </w:pPr>
      <w:r>
        <w:rPr>
          <w:rFonts w:ascii="Calibri" w:hAnsi="Calibri" w:asciiTheme="minorHAnsi" w:hAnsiTheme="minorHAnsi"/>
          <w:b/>
          <w:i/>
          <w:sz w:val="20"/>
          <w:szCs w:val="20"/>
        </w:rPr>
        <w:t xml:space="preserve">- </w:t>
      </w:r>
      <w:r>
        <w:rPr>
          <w:rFonts w:ascii="Calibri" w:hAnsi="Calibri" w:asciiTheme="minorHAnsi" w:hAnsiTheme="minorHAnsi"/>
          <w:b/>
          <w:sz w:val="20"/>
          <w:szCs w:val="20"/>
          <w:u w:val="single"/>
        </w:rPr>
        <w:t>Sucesión cretácica de Allepuz - Puerto de Villarroya - Fortanete</w:t>
      </w:r>
      <w:r>
        <w:rPr>
          <w:rFonts w:ascii="Calibri" w:hAnsi="Calibri" w:asciiTheme="minorHAnsi" w:hAnsiTheme="minorHAnsi"/>
          <w:b/>
          <w:sz w:val="20"/>
          <w:szCs w:val="20"/>
        </w:rPr>
        <w:t xml:space="preserve">. </w:t>
      </w:r>
      <w:r>
        <w:rPr>
          <w:rFonts w:cs="Arial" w:ascii="Calibri" w:hAnsi="Calibri" w:asciiTheme="minorHAnsi" w:hAnsiTheme="minorHAnsi"/>
          <w:b/>
          <w:sz w:val="20"/>
          <w:szCs w:val="20"/>
        </w:rPr>
        <w:t>Afecta al PE Concejo 3 y cruzada por la LAAT SET Cabecero I- SET Cabecero 3</w:t>
      </w:r>
    </w:p>
    <w:p>
      <w:pPr>
        <w:pStyle w:val="NormalWeb"/>
        <w:shd w:val="clear" w:color="auto" w:fill="FFFFFF"/>
        <w:spacing w:beforeAutospacing="0" w:before="0" w:afterAutospacing="0" w:after="0"/>
        <w:ind w:left="708" w:hanging="0"/>
        <w:jc w:val="both"/>
        <w:rPr>
          <w:rFonts w:ascii="Calibri" w:hAnsi="Calibri" w:cs="Arial" w:asciiTheme="minorHAnsi" w:hAnsiTheme="minorHAnsi"/>
          <w:b/>
          <w:b/>
          <w:sz w:val="8"/>
          <w:szCs w:val="8"/>
        </w:rPr>
      </w:pPr>
      <w:r>
        <w:rPr>
          <w:rFonts w:cs="Arial" w:ascii="Calibri" w:hAnsi="Calibri"/>
          <w:b/>
          <w:sz w:val="8"/>
          <w:szCs w:val="8"/>
        </w:rPr>
      </w:r>
    </w:p>
    <w:p>
      <w:pPr>
        <w:pStyle w:val="NormalWeb"/>
        <w:shd w:val="clear" w:color="auto" w:fill="FFFFFF"/>
        <w:spacing w:beforeAutospacing="0" w:before="0" w:afterAutospacing="0" w:after="0"/>
        <w:ind w:left="708" w:hanging="0"/>
        <w:jc w:val="both"/>
        <w:rPr>
          <w:rFonts w:ascii="Calibri" w:hAnsi="Calibri" w:asciiTheme="minorHAnsi" w:hAnsiTheme="minorHAnsi"/>
          <w:b/>
          <w:b/>
          <w:sz w:val="20"/>
          <w:szCs w:val="20"/>
        </w:rPr>
      </w:pPr>
      <w:r>
        <w:rPr>
          <w:rFonts w:ascii="Calibri" w:hAnsi="Calibri" w:asciiTheme="minorHAnsi" w:hAnsiTheme="minorHAnsi"/>
          <w:b/>
          <w:i/>
          <w:sz w:val="20"/>
          <w:szCs w:val="20"/>
        </w:rPr>
        <w:t xml:space="preserve">- </w:t>
      </w:r>
      <w:r>
        <w:rPr>
          <w:rFonts w:ascii="Calibri" w:hAnsi="Calibri" w:asciiTheme="minorHAnsi" w:hAnsiTheme="minorHAnsi"/>
          <w:b/>
          <w:sz w:val="20"/>
          <w:szCs w:val="20"/>
          <w:u w:val="single"/>
        </w:rPr>
        <w:t>Sucesión cretácica Fortanete</w:t>
      </w:r>
      <w:r>
        <w:rPr>
          <w:rFonts w:ascii="Calibri" w:hAnsi="Calibri" w:asciiTheme="minorHAnsi" w:hAnsiTheme="minorHAnsi"/>
          <w:b/>
          <w:sz w:val="20"/>
          <w:szCs w:val="20"/>
        </w:rPr>
        <w:t>. Afecta al PE Cabecero 4</w:t>
      </w:r>
    </w:p>
    <w:p>
      <w:pPr>
        <w:pStyle w:val="NormalWeb"/>
        <w:shd w:val="clear" w:color="auto" w:fill="FFFFFF"/>
        <w:spacing w:beforeAutospacing="0" w:before="0" w:afterAutospacing="0" w:after="0"/>
        <w:ind w:left="708" w:hanging="0"/>
        <w:jc w:val="both"/>
        <w:rPr>
          <w:rFonts w:ascii="Calibri" w:hAnsi="Calibri" w:asciiTheme="minorHAnsi" w:hAnsiTheme="minorHAnsi"/>
          <w:b/>
          <w:b/>
          <w:i/>
          <w:i/>
          <w:sz w:val="20"/>
          <w:szCs w:val="20"/>
        </w:rPr>
      </w:pPr>
      <w:r>
        <w:rPr>
          <w:rFonts w:asciiTheme="minorHAnsi" w:hAnsiTheme="minorHAnsi" w:ascii="Calibri" w:hAnsi="Calibri"/>
          <w:b/>
          <w:i/>
          <w:sz w:val="20"/>
          <w:szCs w:val="20"/>
        </w:rPr>
      </w:r>
    </w:p>
    <w:p>
      <w:pPr>
        <w:pStyle w:val="NormalWeb"/>
        <w:shd w:val="clear" w:color="auto" w:fill="FFFFFF"/>
        <w:spacing w:beforeAutospacing="0" w:before="0" w:afterAutospacing="0" w:after="0"/>
        <w:jc w:val="center"/>
        <w:rPr>
          <w:rFonts w:ascii="Calibri" w:hAnsi="Calibri" w:cs="Arial" w:asciiTheme="minorHAnsi" w:hAnsiTheme="minorHAnsi"/>
          <w:bCs/>
          <w:kern w:val="2"/>
        </w:rPr>
      </w:pPr>
      <w:r>
        <w:rPr/>
        <w:drawing>
          <wp:inline distT="0" distB="0" distL="0" distR="0">
            <wp:extent cx="5400040" cy="5920105"/>
            <wp:effectExtent l="0" t="0" r="0" b="0"/>
            <wp:docPr id="4" name="Imagen 9" descr="E:\...0.2023.01.Fiscalía\LI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9" descr="E:\...0.2023.01.Fiscalía\LIGs.JPG"/>
                    <pic:cNvPicPr>
                      <a:picLocks noChangeAspect="1" noChangeArrowheads="1"/>
                    </pic:cNvPicPr>
                  </pic:nvPicPr>
                  <pic:blipFill>
                    <a:blip r:embed="rId7"/>
                    <a:stretch>
                      <a:fillRect/>
                    </a:stretch>
                  </pic:blipFill>
                  <pic:spPr bwMode="auto">
                    <a:xfrm>
                      <a:off x="0" y="0"/>
                      <a:ext cx="5400040" cy="5920105"/>
                    </a:xfrm>
                    <a:prstGeom prst="rect">
                      <a:avLst/>
                    </a:prstGeom>
                  </pic:spPr>
                </pic:pic>
              </a:graphicData>
            </a:graphic>
          </wp:inline>
        </w:drawing>
      </w:r>
    </w:p>
    <w:p>
      <w:pPr>
        <w:pStyle w:val="NormalWeb"/>
        <w:shd w:val="clear" w:color="auto" w:fill="FFFFFF"/>
        <w:spacing w:beforeAutospacing="0" w:before="0" w:afterAutospacing="0" w:after="0"/>
        <w:jc w:val="center"/>
        <w:rPr>
          <w:rFonts w:ascii="Calibri" w:hAnsi="Calibri" w:cs="Arial" w:asciiTheme="minorHAnsi" w:hAnsiTheme="minorHAnsi"/>
          <w:bCs/>
          <w:kern w:val="2"/>
        </w:rPr>
      </w:pPr>
      <w:r>
        <w:rPr>
          <w:rFonts w:cs="Arial" w:ascii="Calibri" w:hAnsi="Calibri"/>
          <w:bCs/>
          <w:kern w:val="2"/>
        </w:rPr>
      </w:r>
    </w:p>
    <w:p>
      <w:pPr>
        <w:pStyle w:val="NormalWeb"/>
        <w:shd w:val="clear" w:color="auto" w:fill="FFFFFF"/>
        <w:spacing w:beforeAutospacing="0" w:before="0" w:afterAutospacing="0" w:after="0"/>
        <w:jc w:val="both"/>
        <w:rPr>
          <w:rFonts w:ascii="Calibri" w:hAnsi="Calibri" w:asciiTheme="minorHAnsi" w:hAnsiTheme="minorHAnsi"/>
          <w:b/>
          <w:b/>
          <w:sz w:val="20"/>
          <w:szCs w:val="20"/>
        </w:rPr>
      </w:pPr>
      <w:r>
        <w:rPr>
          <w:rFonts w:ascii="Calibri" w:hAnsi="Calibri" w:asciiTheme="minorHAnsi" w:hAnsiTheme="minorHAnsi"/>
          <w:b/>
          <w:sz w:val="20"/>
          <w:szCs w:val="20"/>
        </w:rPr>
        <w:t>10.3. Dice la DIA de las PFvs:</w:t>
      </w:r>
    </w:p>
    <w:p>
      <w:pPr>
        <w:pStyle w:val="NormalWeb"/>
        <w:shd w:val="clear" w:color="auto" w:fill="FFFFFF"/>
        <w:spacing w:beforeAutospacing="0" w:before="0" w:afterAutospacing="0" w:after="0"/>
        <w:jc w:val="both"/>
        <w:rPr>
          <w:rFonts w:ascii="Calibri" w:hAnsi="Calibri" w:asciiTheme="minorHAnsi" w:hAnsiTheme="minorHAnsi"/>
          <w:b/>
          <w:b/>
          <w:sz w:val="8"/>
          <w:szCs w:val="8"/>
        </w:rPr>
      </w:pPr>
      <w:r>
        <w:rPr>
          <w:rFonts w:asciiTheme="minorHAnsi" w:hAnsiTheme="minorHAnsi" w:ascii="Calibri" w:hAnsi="Calibri"/>
          <w:b/>
          <w:sz w:val="8"/>
          <w:szCs w:val="8"/>
        </w:rPr>
      </w:r>
    </w:p>
    <w:p>
      <w:pPr>
        <w:pStyle w:val="NormalWeb"/>
        <w:shd w:val="clear" w:color="auto" w:fill="FFFFFF"/>
        <w:spacing w:beforeAutospacing="0" w:before="0" w:afterAutospacing="0" w:after="0"/>
        <w:ind w:left="708" w:hanging="0"/>
        <w:jc w:val="both"/>
        <w:rPr>
          <w:rFonts w:ascii="Calibri" w:hAnsi="Calibri" w:asciiTheme="minorHAnsi" w:hAnsiTheme="minorHAnsi"/>
          <w:b/>
          <w:b/>
          <w:i/>
          <w:i/>
          <w:sz w:val="20"/>
          <w:szCs w:val="20"/>
        </w:rPr>
      </w:pPr>
      <w:r>
        <w:rPr>
          <w:rFonts w:ascii="Calibri" w:hAnsi="Calibri" w:asciiTheme="minorHAnsi" w:hAnsiTheme="minorHAnsi"/>
          <w:b/>
          <w:i/>
          <w:sz w:val="20"/>
          <w:szCs w:val="20"/>
        </w:rPr>
        <w:t>“</w:t>
      </w:r>
      <w:r>
        <w:rPr>
          <w:rFonts w:ascii="Calibri" w:hAnsi="Calibri" w:asciiTheme="minorHAnsi" w:hAnsiTheme="minorHAnsi"/>
          <w:b/>
          <w:i/>
          <w:sz w:val="20"/>
          <w:szCs w:val="20"/>
        </w:rPr>
        <w:t xml:space="preserve">El proyecto se ubicará en el Poljé de Mosqueruela, considerado Lugar de Interés Geológico (LIG). Este hecho es citado en varias de las alegaciones presentadas, en las que exponían que </w:t>
      </w:r>
      <w:r>
        <w:rPr>
          <w:rFonts w:ascii="Calibri" w:hAnsi="Calibri" w:asciiTheme="minorHAnsi" w:hAnsiTheme="minorHAnsi"/>
          <w:b/>
          <w:i/>
          <w:sz w:val="20"/>
          <w:szCs w:val="20"/>
          <w:u w:val="single"/>
        </w:rPr>
        <w:t>el Estudio de impacto ambiental no había considerado este aspecto.</w:t>
      </w:r>
      <w:r>
        <w:rPr>
          <w:rFonts w:ascii="Calibri" w:hAnsi="Calibri" w:asciiTheme="minorHAnsi" w:hAnsiTheme="minorHAnsi"/>
          <w:b/>
          <w:i/>
          <w:sz w:val="20"/>
          <w:szCs w:val="20"/>
        </w:rPr>
        <w:t xml:space="preserve"> (…) El área donde se proyecta la planta fotovoltaica Masía I se encuentra en la zona meridional del polje, que conserva una zona endorreica, sin drenaje externo, por lo que se prevén medidas para evitar la alteración de la calidad de las aguas. (…) En relación al impacto paisajístico en este LIG, el estudio indica que se trata de una zona con alta relevancia paisajística y patrimonial y baja frecuentación de acuerdo con los mapas de paisaje del Gobierno de Aragón”</w:t>
      </w:r>
    </w:p>
    <w:p>
      <w:pPr>
        <w:pStyle w:val="NormalWeb"/>
        <w:shd w:val="clear" w:color="auto" w:fill="FFFFFF"/>
        <w:spacing w:beforeAutospacing="0" w:before="0" w:afterAutospacing="0" w:after="0"/>
        <w:ind w:left="708" w:hanging="0"/>
        <w:jc w:val="both"/>
        <w:rPr>
          <w:rFonts w:ascii="Calibri" w:hAnsi="Calibri" w:asciiTheme="minorHAnsi" w:hAnsiTheme="minorHAnsi"/>
          <w:b/>
          <w:b/>
          <w:i/>
          <w:i/>
          <w:sz w:val="20"/>
          <w:szCs w:val="20"/>
        </w:rPr>
      </w:pPr>
      <w:r>
        <w:rPr>
          <w:rFonts w:ascii="Calibri" w:hAnsi="Calibri" w:asciiTheme="minorHAnsi" w:hAnsiTheme="minorHAnsi"/>
          <w:b/>
          <w:i/>
          <w:sz w:val="20"/>
          <w:szCs w:val="20"/>
        </w:rPr>
        <w:t>(…) “La planta fotovoltaica Masía I se ubica en la zona meridional del Poljé de Mosqueruela, que conserva una zona cerrada, sin drenaje externo, mientras que Masía II se ubica en la zona NE del poljé que ha perdido su carácter endorreico al ser capturada por el río Majo y es atravesada por el Barranco del Plano”.</w:t>
      </w:r>
    </w:p>
    <w:p>
      <w:pPr>
        <w:pStyle w:val="NormalWeb"/>
        <w:shd w:val="clear" w:color="auto" w:fill="FFFFFF"/>
        <w:spacing w:beforeAutospacing="0" w:before="0" w:afterAutospacing="0" w:after="0"/>
        <w:jc w:val="both"/>
        <w:rPr>
          <w:rFonts w:ascii="Calibri" w:hAnsi="Calibri" w:asciiTheme="minorHAnsi" w:hAnsiTheme="minorHAnsi"/>
          <w:b/>
          <w:b/>
          <w:i/>
          <w:i/>
          <w:sz w:val="20"/>
          <w:szCs w:val="20"/>
        </w:rPr>
      </w:pPr>
      <w:r>
        <w:rPr>
          <w:rFonts w:asciiTheme="minorHAnsi" w:hAnsiTheme="minorHAnsi" w:ascii="Calibri" w:hAnsi="Calibri"/>
          <w:b/>
          <w:i/>
          <w:sz w:val="20"/>
          <w:szCs w:val="20"/>
        </w:rPr>
      </w:r>
    </w:p>
    <w:p>
      <w:pPr>
        <w:pStyle w:val="Normal"/>
        <w:spacing w:lineRule="auto" w:line="240" w:before="0" w:after="0"/>
        <w:jc w:val="both"/>
        <w:rPr>
          <w:b/>
          <w:b/>
          <w:sz w:val="20"/>
          <w:szCs w:val="20"/>
        </w:rPr>
      </w:pPr>
      <w:r>
        <w:rPr>
          <w:b/>
          <w:sz w:val="20"/>
          <w:szCs w:val="20"/>
        </w:rPr>
        <w:t>10.4. El polje de Mosqueruela está incluido en el Catálogo de Lugares de Interés Geológico de Aragón (LIGs), aprobado por el Decreto 274/2015, de 29 de septiembre, del Gobierno de Aragón, algo que resulta obviado en su totalidad por el Estudio de impacto. Ello conduce a que no se han podido prever medidas de minimización de impactos del proyecto planteado en relación con esta cuestión.</w:t>
      </w:r>
    </w:p>
    <w:p>
      <w:pPr>
        <w:pStyle w:val="NormalWeb"/>
        <w:shd w:val="clear" w:color="auto" w:fill="FFFFFF"/>
        <w:spacing w:beforeAutospacing="0" w:before="0" w:afterAutospacing="0" w:after="0"/>
        <w:jc w:val="both"/>
        <w:rPr>
          <w:rFonts w:ascii="Calibri" w:hAnsi="Calibri" w:asciiTheme="minorHAnsi" w:hAnsiTheme="minorHAnsi"/>
          <w:b/>
          <w:b/>
          <w:i/>
          <w:i/>
          <w:sz w:val="20"/>
          <w:szCs w:val="20"/>
        </w:rPr>
      </w:pPr>
      <w:r>
        <w:rPr>
          <w:rFonts w:asciiTheme="minorHAnsi" w:hAnsiTheme="minorHAnsi" w:ascii="Calibri" w:hAnsi="Calibri"/>
          <w:b/>
          <w:i/>
          <w:sz w:val="20"/>
          <w:szCs w:val="20"/>
        </w:rPr>
      </w:r>
    </w:p>
    <w:p>
      <w:pPr>
        <w:pStyle w:val="NormalWeb"/>
        <w:shd w:val="clear" w:color="auto" w:fill="FFFFFF"/>
        <w:spacing w:beforeAutospacing="0" w:before="0" w:afterAutospacing="0" w:after="0"/>
        <w:jc w:val="both"/>
        <w:rPr>
          <w:rFonts w:ascii="DejaVuSans" w:hAnsi="DejaVuSans" w:cs="DejaVuSans"/>
          <w:b/>
          <w:b/>
          <w:sz w:val="20"/>
          <w:szCs w:val="20"/>
        </w:rPr>
      </w:pPr>
      <w:r>
        <w:rPr>
          <w:rFonts w:cs="Arial" w:ascii="Calibri" w:hAnsi="Calibri" w:asciiTheme="minorHAnsi" w:hAnsiTheme="minorHAnsi"/>
          <w:b/>
          <w:bCs/>
          <w:kern w:val="2"/>
          <w:sz w:val="20"/>
          <w:szCs w:val="20"/>
        </w:rPr>
        <w:t>10.5. El Decreto 274/2015, de 29 de septiembre, del Gobierno de Aragón, por el que se crea el Catálogo de Lugares de Interés Geológico de Aragón y se establece su régimen de protección dota a los Lugares de Interés Geológico de un status jurídico orientado a:</w:t>
      </w:r>
    </w:p>
    <w:p>
      <w:pPr>
        <w:pStyle w:val="Normal"/>
        <w:spacing w:lineRule="auto" w:line="240" w:before="0" w:after="0"/>
        <w:rPr>
          <w:sz w:val="8"/>
          <w:szCs w:val="8"/>
        </w:rPr>
      </w:pPr>
      <w:r>
        <w:rPr>
          <w:sz w:val="8"/>
          <w:szCs w:val="8"/>
        </w:rPr>
      </w:r>
    </w:p>
    <w:p>
      <w:pPr>
        <w:pStyle w:val="Normal"/>
        <w:spacing w:lineRule="auto" w:line="240" w:before="0" w:after="0"/>
        <w:ind w:left="708" w:hanging="0"/>
        <w:jc w:val="both"/>
        <w:rPr>
          <w:b/>
          <w:b/>
          <w:i/>
          <w:i/>
          <w:sz w:val="20"/>
          <w:szCs w:val="20"/>
          <w:shd w:fill="FFFFFF" w:val="clear"/>
        </w:rPr>
      </w:pPr>
      <w:r>
        <w:rPr>
          <w:b/>
          <w:i/>
          <w:sz w:val="20"/>
          <w:szCs w:val="20"/>
          <w:shd w:fill="FFFFFF" w:val="clear"/>
        </w:rPr>
        <w:t>“</w:t>
      </w:r>
      <w:r>
        <w:rPr>
          <w:b/>
          <w:i/>
          <w:sz w:val="20"/>
          <w:szCs w:val="20"/>
          <w:shd w:fill="FFFFFF" w:val="clear"/>
        </w:rPr>
        <w:t>la protección de sus valores intrínsecos por su contenido geológico, en función de su importancia (para deducir la evolución geológica de Aragón y comprender el funcionamiento de los procesos geológicos), su representatividad, su singularidad y rareza, su estado de conservación y su fragilidad”.</w:t>
      </w:r>
    </w:p>
    <w:p>
      <w:pPr>
        <w:pStyle w:val="NormalWeb"/>
        <w:shd w:val="clear" w:color="auto" w:fill="FFFFFF"/>
        <w:spacing w:beforeAutospacing="0" w:before="0" w:afterAutospacing="0" w:after="0"/>
        <w:jc w:val="both"/>
        <w:rPr>
          <w:rFonts w:ascii="Calibri" w:hAnsi="Calibri" w:asciiTheme="minorHAnsi" w:hAnsiTheme="minorHAnsi"/>
          <w:b/>
          <w:b/>
          <w:i/>
          <w:i/>
          <w:sz w:val="20"/>
          <w:szCs w:val="20"/>
        </w:rPr>
      </w:pPr>
      <w:r>
        <w:rPr>
          <w:rFonts w:asciiTheme="minorHAnsi" w:hAnsiTheme="minorHAnsi" w:ascii="Calibri" w:hAnsi="Calibri"/>
          <w:b/>
          <w:i/>
          <w:sz w:val="20"/>
          <w:szCs w:val="20"/>
        </w:rPr>
      </w:r>
    </w:p>
    <w:p>
      <w:pPr>
        <w:pStyle w:val="NormalWeb"/>
        <w:shd w:val="clear" w:color="auto" w:fill="FFFFFF"/>
        <w:spacing w:beforeAutospacing="0" w:before="0" w:afterAutospacing="0" w:after="0"/>
        <w:jc w:val="both"/>
        <w:rPr>
          <w:rFonts w:ascii="Calibri" w:hAnsi="Calibri" w:cs="Arial" w:asciiTheme="minorHAnsi" w:hAnsiTheme="minorHAnsi"/>
          <w:b/>
          <w:b/>
          <w:sz w:val="20"/>
          <w:szCs w:val="20"/>
          <w:shd w:fill="FFFFFF" w:val="clear"/>
        </w:rPr>
      </w:pPr>
      <w:r>
        <w:rPr>
          <w:rFonts w:ascii="Calibri" w:hAnsi="Calibri" w:asciiTheme="minorHAnsi" w:hAnsiTheme="minorHAnsi"/>
          <w:b/>
          <w:sz w:val="20"/>
          <w:szCs w:val="20"/>
        </w:rPr>
        <w:t>10.6. Se ha incumplido el a</w:t>
      </w:r>
      <w:r>
        <w:rPr>
          <w:rFonts w:cs="Arial" w:ascii="Calibri" w:hAnsi="Calibri" w:asciiTheme="minorHAnsi" w:hAnsiTheme="minorHAnsi"/>
          <w:b/>
          <w:sz w:val="20"/>
          <w:szCs w:val="20"/>
        </w:rPr>
        <w:t xml:space="preserve">rtículo 10 del </w:t>
      </w:r>
      <w:r>
        <w:rPr>
          <w:rFonts w:ascii="Calibri" w:hAnsi="Calibri" w:asciiTheme="minorHAnsi" w:hAnsiTheme="minorHAnsi"/>
          <w:b/>
          <w:sz w:val="20"/>
          <w:szCs w:val="20"/>
        </w:rPr>
        <w:t xml:space="preserve">Decreto 274/2015, de 29 de septiembre, del Gobierno de Aragón, </w:t>
      </w:r>
      <w:r>
        <w:rPr>
          <w:rFonts w:cs="Arial" w:ascii="Calibri" w:hAnsi="Calibri" w:asciiTheme="minorHAnsi" w:hAnsiTheme="minorHAnsi"/>
          <w:b/>
          <w:sz w:val="20"/>
          <w:szCs w:val="20"/>
          <w:shd w:fill="FFFFFF" w:val="clear"/>
        </w:rPr>
        <w:t>por el que se crea el Catálogo de Lugares de Interés Geológico de Aragón y se establece su régimen de protección:</w:t>
      </w:r>
    </w:p>
    <w:p>
      <w:pPr>
        <w:pStyle w:val="NormalWeb"/>
        <w:shd w:val="clear" w:color="auto" w:fill="FFFFFF"/>
        <w:spacing w:beforeAutospacing="0" w:before="0" w:afterAutospacing="0" w:after="0"/>
        <w:jc w:val="both"/>
        <w:rPr>
          <w:rFonts w:ascii="Calibri" w:hAnsi="Calibri" w:cs="Arial" w:asciiTheme="minorHAnsi" w:hAnsiTheme="minorHAnsi"/>
          <w:b/>
          <w:b/>
          <w:sz w:val="8"/>
          <w:szCs w:val="8"/>
        </w:rPr>
      </w:pPr>
      <w:r>
        <w:rPr>
          <w:rFonts w:cs="Arial" w:ascii="Calibri" w:hAnsi="Calibri"/>
          <w:b/>
          <w:sz w:val="8"/>
          <w:szCs w:val="8"/>
        </w:rPr>
      </w:r>
    </w:p>
    <w:p>
      <w:pPr>
        <w:pStyle w:val="NormalWeb"/>
        <w:shd w:val="clear" w:color="auto" w:fill="FFFFFF"/>
        <w:spacing w:beforeAutospacing="0" w:before="0" w:afterAutospacing="0" w:after="0"/>
        <w:ind w:left="708" w:hanging="0"/>
        <w:jc w:val="both"/>
        <w:rPr>
          <w:rFonts w:ascii="Calibri" w:hAnsi="Calibri" w:asciiTheme="minorHAnsi" w:hAnsiTheme="minorHAnsi"/>
          <w:b/>
          <w:b/>
          <w:i/>
          <w:i/>
          <w:sz w:val="20"/>
          <w:szCs w:val="20"/>
        </w:rPr>
      </w:pPr>
      <w:r>
        <w:rPr>
          <w:rFonts w:cs="Arial" w:ascii="Calibri" w:hAnsi="Calibri" w:asciiTheme="minorHAnsi" w:hAnsiTheme="minorHAnsi"/>
          <w:b/>
          <w:i/>
          <w:sz w:val="20"/>
          <w:szCs w:val="20"/>
        </w:rPr>
        <w:t>“</w:t>
      </w:r>
      <w:r>
        <w:rPr>
          <w:rFonts w:cs="Arial" w:ascii="Calibri" w:hAnsi="Calibri" w:asciiTheme="minorHAnsi" w:hAnsiTheme="minorHAnsi"/>
          <w:b/>
          <w:i/>
          <w:sz w:val="20"/>
          <w:szCs w:val="20"/>
        </w:rPr>
        <w:t>Efectos de la inclusión en el Catálogo.</w:t>
      </w:r>
    </w:p>
    <w:p>
      <w:pPr>
        <w:pStyle w:val="NormalWeb"/>
        <w:shd w:val="clear" w:color="auto" w:fill="FFFFFF"/>
        <w:spacing w:beforeAutospacing="0" w:before="0" w:afterAutospacing="0" w:after="0"/>
        <w:ind w:left="708" w:hanging="0"/>
        <w:jc w:val="both"/>
        <w:rPr>
          <w:rFonts w:ascii="Calibri" w:hAnsi="Calibri" w:cs="Arial" w:asciiTheme="minorHAnsi" w:hAnsiTheme="minorHAnsi"/>
          <w:b/>
          <w:b/>
          <w:i/>
          <w:i/>
          <w:sz w:val="20"/>
          <w:szCs w:val="20"/>
        </w:rPr>
      </w:pPr>
      <w:r>
        <w:rPr>
          <w:rFonts w:cs="Arial" w:ascii="Calibri" w:hAnsi="Calibri" w:asciiTheme="minorHAnsi" w:hAnsiTheme="minorHAnsi"/>
          <w:b/>
          <w:i/>
          <w:sz w:val="20"/>
          <w:szCs w:val="20"/>
        </w:rPr>
        <w:t xml:space="preserve">1. </w:t>
      </w:r>
      <w:r>
        <w:rPr>
          <w:rFonts w:cs="Arial" w:ascii="Calibri" w:hAnsi="Calibri" w:asciiTheme="minorHAnsi" w:hAnsiTheme="minorHAnsi"/>
          <w:b/>
          <w:i/>
          <w:sz w:val="20"/>
          <w:szCs w:val="20"/>
          <w:u w:val="single"/>
        </w:rPr>
        <w:t>Los Lugares de Interés Geológico de Aragón deberán ser preservados de actividades susceptibles de provocar su recesión y degradación</w:t>
      </w:r>
      <w:r>
        <w:rPr>
          <w:rFonts w:cs="Arial" w:ascii="Calibri" w:hAnsi="Calibri" w:asciiTheme="minorHAnsi" w:hAnsiTheme="minorHAnsi"/>
          <w:b/>
          <w:i/>
          <w:sz w:val="20"/>
          <w:szCs w:val="20"/>
        </w:rPr>
        <w:t xml:space="preserve"> (…) </w:t>
      </w:r>
    </w:p>
    <w:p>
      <w:pPr>
        <w:pStyle w:val="NormalWeb"/>
        <w:shd w:val="clear" w:color="auto" w:fill="FFFFFF"/>
        <w:spacing w:beforeAutospacing="0" w:before="0" w:afterAutospacing="0" w:after="0"/>
        <w:ind w:left="708" w:hanging="0"/>
        <w:jc w:val="both"/>
        <w:rPr>
          <w:rFonts w:ascii="Calibri" w:hAnsi="Calibri" w:cs="Arial" w:asciiTheme="minorHAnsi" w:hAnsiTheme="minorHAnsi"/>
          <w:b/>
          <w:b/>
          <w:i/>
          <w:i/>
          <w:sz w:val="20"/>
          <w:szCs w:val="20"/>
        </w:rPr>
      </w:pPr>
      <w:r>
        <w:rPr>
          <w:rFonts w:cs="Arial" w:ascii="Calibri" w:hAnsi="Calibri" w:asciiTheme="minorHAnsi" w:hAnsiTheme="minorHAnsi"/>
          <w:b/>
          <w:i/>
          <w:sz w:val="20"/>
          <w:szCs w:val="20"/>
        </w:rPr>
        <w:t>4. En aquellos procedimientos sujetos a trámite de evaluación de impacto ambiental, el estudio de impacto ambiental deberá hacer mención expresa a la incidencia de las actividades y proyectos sobre los Lugares de Interés Geológico de Aragón que pudieran resultar afectados”.</w:t>
      </w:r>
    </w:p>
    <w:p>
      <w:pPr>
        <w:pStyle w:val="NormalWeb"/>
        <w:shd w:val="clear" w:color="auto" w:fill="FFFFFF"/>
        <w:spacing w:beforeAutospacing="0" w:before="0" w:afterAutospacing="0" w:after="0"/>
        <w:jc w:val="both"/>
        <w:rPr>
          <w:rFonts w:ascii="Calibri" w:hAnsi="Calibri" w:asciiTheme="minorHAnsi" w:hAnsiTheme="minorHAnsi"/>
          <w:b/>
          <w:b/>
          <w:i/>
          <w:i/>
          <w:sz w:val="20"/>
          <w:szCs w:val="20"/>
        </w:rPr>
      </w:pPr>
      <w:r>
        <w:rPr>
          <w:rFonts w:asciiTheme="minorHAnsi" w:hAnsiTheme="minorHAnsi" w:ascii="Calibri" w:hAnsi="Calibri"/>
          <w:b/>
          <w:i/>
          <w:sz w:val="20"/>
          <w:szCs w:val="20"/>
        </w:rPr>
      </w:r>
    </w:p>
    <w:p>
      <w:pPr>
        <w:pStyle w:val="Normal"/>
        <w:spacing w:lineRule="auto" w:line="240" w:before="0" w:after="0"/>
        <w:jc w:val="both"/>
        <w:rPr>
          <w:b/>
          <w:b/>
          <w:i/>
          <w:i/>
          <w:sz w:val="20"/>
          <w:szCs w:val="20"/>
          <w:shd w:fill="FFFFFF" w:val="clear"/>
        </w:rPr>
      </w:pPr>
      <w:r>
        <w:rPr>
          <w:rFonts w:cs="Arial"/>
          <w:b/>
          <w:bCs/>
          <w:kern w:val="2"/>
          <w:sz w:val="20"/>
          <w:szCs w:val="20"/>
        </w:rPr>
        <w:t>10.7. El Decreto 274/2015, de 29 de septiembre, del Gobierno de Aragón, por el que se crea el Catálogo de Lugares de Interés Geológico de Aragón y se establece su régimen de protección establece en su artículo 12 los Usos y actividades prohibidos en la cercanía de los Lugares de Interés Geológico:</w:t>
      </w:r>
    </w:p>
    <w:p>
      <w:pPr>
        <w:pStyle w:val="Normal"/>
        <w:spacing w:lineRule="auto" w:line="240" w:before="0" w:after="0"/>
        <w:rPr>
          <w:sz w:val="8"/>
          <w:szCs w:val="8"/>
        </w:rPr>
      </w:pPr>
      <w:r>
        <w:rPr>
          <w:sz w:val="8"/>
          <w:szCs w:val="8"/>
        </w:rPr>
      </w:r>
    </w:p>
    <w:p>
      <w:pPr>
        <w:pStyle w:val="Xdef"/>
        <w:shd w:val="clear" w:color="auto" w:fill="FFFFFF"/>
        <w:spacing w:beforeAutospacing="0" w:before="0" w:afterAutospacing="0" w:after="0"/>
        <w:ind w:left="708" w:hanging="0"/>
        <w:jc w:val="both"/>
        <w:rPr>
          <w:rFonts w:ascii="Calibri" w:hAnsi="Calibri" w:cs="Arial" w:asciiTheme="minorHAnsi" w:hAnsiTheme="minorHAnsi"/>
          <w:b/>
          <w:b/>
          <w:i/>
          <w:i/>
          <w:kern w:val="2"/>
          <w:sz w:val="20"/>
          <w:szCs w:val="20"/>
        </w:rPr>
      </w:pPr>
      <w:r>
        <w:rPr>
          <w:rFonts w:cs="Arial" w:ascii="Calibri" w:hAnsi="Calibri" w:asciiTheme="minorHAnsi" w:hAnsiTheme="minorHAnsi"/>
          <w:b/>
          <w:i/>
          <w:kern w:val="2"/>
          <w:sz w:val="20"/>
          <w:szCs w:val="20"/>
        </w:rPr>
        <w:t>“</w:t>
      </w:r>
      <w:r>
        <w:rPr>
          <w:rFonts w:cs="Arial" w:ascii="Calibri" w:hAnsi="Calibri" w:asciiTheme="minorHAnsi" w:hAnsiTheme="minorHAnsi"/>
          <w:b/>
          <w:i/>
          <w:kern w:val="2"/>
          <w:sz w:val="20"/>
          <w:szCs w:val="20"/>
        </w:rPr>
        <w:t>Artículo 12.2. Con carácter general, en los Lugares de Interés Geológico se prohíben los siguientes usos y actuaciones:</w:t>
      </w:r>
    </w:p>
    <w:p>
      <w:pPr>
        <w:pStyle w:val="Xdef"/>
        <w:shd w:val="clear" w:color="auto" w:fill="FFFFFF"/>
        <w:spacing w:beforeAutospacing="0" w:before="0" w:afterAutospacing="0" w:after="0"/>
        <w:ind w:left="708" w:hanging="0"/>
        <w:jc w:val="both"/>
        <w:rPr>
          <w:rFonts w:ascii="Arial" w:hAnsi="Arial" w:cs="Arial"/>
          <w:b/>
          <w:b/>
          <w:i/>
          <w:i/>
          <w:kern w:val="2"/>
          <w:sz w:val="22"/>
          <w:szCs w:val="22"/>
        </w:rPr>
      </w:pPr>
      <w:r>
        <w:rPr>
          <w:rFonts w:cs="Arial" w:ascii="Calibri" w:hAnsi="Calibri" w:asciiTheme="minorHAnsi" w:hAnsiTheme="minorHAnsi"/>
          <w:b/>
          <w:i/>
          <w:kern w:val="2"/>
          <w:sz w:val="20"/>
          <w:szCs w:val="20"/>
        </w:rPr>
        <w:t xml:space="preserve">d) </w:t>
      </w:r>
      <w:r>
        <w:rPr>
          <w:rFonts w:cs="Arial" w:ascii="Calibri" w:hAnsi="Calibri" w:asciiTheme="minorHAnsi" w:hAnsiTheme="minorHAnsi"/>
          <w:b/>
          <w:i/>
          <w:kern w:val="2"/>
          <w:sz w:val="20"/>
          <w:szCs w:val="20"/>
          <w:u w:val="single"/>
        </w:rPr>
        <w:t>Las nuevas infraestructuras viarias, energéticas y de telecomunicaciones</w:t>
      </w:r>
      <w:r>
        <w:rPr>
          <w:rFonts w:cs="Arial" w:ascii="Calibri" w:hAnsi="Calibri" w:asciiTheme="minorHAnsi" w:hAnsiTheme="minorHAnsi"/>
          <w:b/>
          <w:i/>
          <w:kern w:val="2"/>
          <w:sz w:val="20"/>
          <w:szCs w:val="20"/>
        </w:rPr>
        <w:t>”.</w:t>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b/>
          <w:sz w:val="20"/>
          <w:szCs w:val="20"/>
        </w:rPr>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asciiTheme="minorHAnsi" w:hAnsiTheme="minorHAnsi"/>
          <w:b/>
          <w:sz w:val="20"/>
          <w:szCs w:val="20"/>
        </w:rPr>
        <w:t>10.8. El Estudio ambiental estratégico del PNIEC señala:</w:t>
      </w:r>
    </w:p>
    <w:p>
      <w:pPr>
        <w:pStyle w:val="Normal"/>
        <w:spacing w:lineRule="auto" w:line="240" w:before="0" w:after="0"/>
        <w:rPr>
          <w:rFonts w:ascii="Calibri" w:hAnsi="Calibri" w:cs="Calibri"/>
          <w:b/>
          <w:b/>
          <w:bCs/>
          <w:i/>
          <w:i/>
          <w:iCs/>
          <w:sz w:val="8"/>
          <w:szCs w:val="8"/>
        </w:rPr>
      </w:pPr>
      <w:r>
        <w:rPr>
          <w:rFonts w:cs="Calibri"/>
          <w:b/>
          <w:bCs/>
          <w:i/>
          <w:iCs/>
          <w:sz w:val="8"/>
          <w:szCs w:val="8"/>
        </w:rPr>
      </w:r>
    </w:p>
    <w:p>
      <w:pPr>
        <w:pStyle w:val="Normal"/>
        <w:spacing w:lineRule="auto" w:line="240" w:before="0" w:after="0"/>
        <w:ind w:left="708" w:hanging="0"/>
        <w:jc w:val="both"/>
        <w:rPr>
          <w:rFonts w:cs="Calibri"/>
          <w:b/>
          <w:b/>
          <w:i/>
          <w:i/>
          <w:sz w:val="20"/>
          <w:szCs w:val="20"/>
        </w:rPr>
      </w:pPr>
      <w:r>
        <w:rPr>
          <w:rFonts w:cs="Calibri"/>
          <w:b/>
          <w:bCs/>
          <w:i/>
          <w:iCs/>
          <w:sz w:val="20"/>
          <w:szCs w:val="20"/>
        </w:rPr>
        <w:t>“</w:t>
      </w:r>
      <w:r>
        <w:rPr>
          <w:rFonts w:cs="Calibri"/>
          <w:b/>
          <w:bCs/>
          <w:i/>
          <w:iCs/>
          <w:sz w:val="20"/>
          <w:szCs w:val="20"/>
        </w:rPr>
        <w:t>Promoción de criterios ambientales generales para la ubicación de instalaciones de energías renovables.</w:t>
      </w:r>
    </w:p>
    <w:p>
      <w:pPr>
        <w:pStyle w:val="Normal"/>
        <w:spacing w:lineRule="auto" w:line="240" w:before="0" w:after="0"/>
        <w:ind w:left="708" w:hanging="0"/>
        <w:jc w:val="both"/>
        <w:rPr>
          <w:rFonts w:cs="Calibri"/>
          <w:b/>
          <w:b/>
          <w:i/>
          <w:i/>
          <w:sz w:val="20"/>
          <w:szCs w:val="20"/>
        </w:rPr>
      </w:pPr>
      <w:r>
        <w:rPr>
          <w:rFonts w:cs="Andalus"/>
          <w:b/>
          <w:i/>
          <w:sz w:val="20"/>
          <w:szCs w:val="20"/>
        </w:rPr>
        <w:t xml:space="preserve">- </w:t>
      </w:r>
      <w:r>
        <w:rPr>
          <w:rFonts w:cs="Calibri"/>
          <w:b/>
          <w:i/>
          <w:sz w:val="20"/>
          <w:szCs w:val="20"/>
        </w:rPr>
        <w:t xml:space="preserve">En general, se evitará la afección a valores ambientales frágiles o de interés para la conservación, tales como </w:t>
      </w:r>
      <w:r>
        <w:rPr>
          <w:rFonts w:cs="Calibri"/>
          <w:b/>
          <w:i/>
          <w:sz w:val="20"/>
          <w:szCs w:val="20"/>
          <w:u w:val="single"/>
        </w:rPr>
        <w:t>puntos de interés geológico, hábitat de interés comunitario (especialmente los prioritarios), presencia de especies catalogadas o ecosistemas singulares, áreas de importancia para la conservación de las aves</w:t>
      </w:r>
      <w:r>
        <w:rPr>
          <w:rFonts w:cs="Calibri"/>
          <w:b/>
          <w:i/>
          <w:sz w:val="20"/>
          <w:szCs w:val="20"/>
        </w:rPr>
        <w:t xml:space="preserve">, zonas de valor paisajístico reconocidas en los planes de ordenación territorial, así como zonas de importancia por la presencia de elementos de patrimoniales”. </w:t>
      </w:r>
    </w:p>
    <w:p>
      <w:pPr>
        <w:pStyle w:val="NormalWeb"/>
        <w:shd w:val="clear" w:color="auto" w:fill="FFFFFF"/>
        <w:spacing w:beforeAutospacing="0" w:before="0" w:afterAutospacing="0" w:after="0"/>
        <w:jc w:val="both"/>
        <w:rPr>
          <w:rFonts w:ascii="Calibri" w:hAnsi="Calibri" w:cs="Arial" w:asciiTheme="minorHAnsi" w:hAnsiTheme="minorHAnsi"/>
          <w:b/>
          <w:b/>
          <w:sz w:val="8"/>
          <w:szCs w:val="8"/>
        </w:rPr>
      </w:pPr>
      <w:r>
        <w:rPr>
          <w:rFonts w:cs="Arial" w:ascii="Calibri" w:hAnsi="Calibri"/>
          <w:b/>
          <w:sz w:val="8"/>
          <w:szCs w:val="8"/>
        </w:rPr>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hyperlink r:id="rId8">
        <w:r>
          <w:rPr>
            <w:rStyle w:val="EnlacedeInternet"/>
            <w:rFonts w:cs="Arial" w:ascii="Calibri" w:hAnsi="Calibri" w:asciiTheme="minorHAnsi" w:hAnsiTheme="minorHAnsi"/>
            <w:b/>
            <w:color w:val="auto"/>
            <w:sz w:val="20"/>
            <w:szCs w:val="20"/>
          </w:rPr>
          <w:t>https://drive.google.com/file/d/1O5gY9w-h9FxpPCNxvT8NqKodRIoOXDgn/view?usp=share_link</w:t>
        </w:r>
      </w:hyperlink>
    </w:p>
    <w:p>
      <w:pPr>
        <w:pStyle w:val="NormalWeb"/>
        <w:shd w:val="clear" w:color="auto" w:fill="FFFFFF"/>
        <w:spacing w:beforeAutospacing="0" w:before="0" w:afterAutospacing="0" w:after="0"/>
        <w:jc w:val="both"/>
        <w:rPr>
          <w:rFonts w:ascii="Calibri" w:hAnsi="Calibri" w:asciiTheme="minorHAnsi" w:hAnsiTheme="minorHAnsi"/>
          <w:b/>
          <w:b/>
          <w:i/>
          <w:i/>
          <w:sz w:val="20"/>
          <w:szCs w:val="20"/>
        </w:rPr>
      </w:pPr>
      <w:r>
        <w:rPr>
          <w:rFonts w:asciiTheme="minorHAnsi" w:hAnsiTheme="minorHAnsi" w:ascii="Calibri" w:hAnsi="Calibri"/>
          <w:b/>
          <w:i/>
          <w:sz w:val="20"/>
          <w:szCs w:val="20"/>
        </w:rPr>
      </w:r>
    </w:p>
    <w:p>
      <w:pPr>
        <w:pStyle w:val="Normal"/>
        <w:spacing w:lineRule="auto" w:line="240" w:before="0" w:after="0"/>
        <w:jc w:val="both"/>
        <w:rPr>
          <w:b/>
          <w:b/>
          <w:sz w:val="20"/>
          <w:szCs w:val="20"/>
        </w:rPr>
      </w:pPr>
      <w:r>
        <w:rPr>
          <w:b/>
          <w:sz w:val="20"/>
          <w:szCs w:val="20"/>
        </w:rPr>
        <w:t xml:space="preserve">11. </w:t>
      </w:r>
      <w:r>
        <w:rPr>
          <w:b/>
          <w:sz w:val="20"/>
          <w:szCs w:val="20"/>
          <w:u w:val="single"/>
        </w:rPr>
        <w:t>EN LAS EVALUACIONES DE IMPACTO AMBIENTAL NO SE VALORA SUFICIENTEMENTE LA AFECCIÓN AL PARQUE CULTURAL Y GEOPARQUE DEL MAESTRAZGO</w:t>
      </w:r>
    </w:p>
    <w:p>
      <w:pPr>
        <w:pStyle w:val="Normal"/>
        <w:spacing w:lineRule="auto" w:line="240" w:before="0" w:after="0"/>
        <w:jc w:val="both"/>
        <w:rPr>
          <w:b/>
          <w:b/>
          <w:sz w:val="8"/>
          <w:szCs w:val="8"/>
        </w:rPr>
      </w:pPr>
      <w:r>
        <w:rPr>
          <w:b/>
          <w:sz w:val="8"/>
          <w:szCs w:val="8"/>
        </w:rPr>
      </w:r>
    </w:p>
    <w:p>
      <w:pPr>
        <w:pStyle w:val="Normal"/>
        <w:spacing w:lineRule="auto" w:line="240" w:before="0" w:after="0"/>
        <w:jc w:val="both"/>
        <w:rPr>
          <w:b/>
          <w:b/>
          <w:sz w:val="20"/>
          <w:szCs w:val="20"/>
        </w:rPr>
      </w:pPr>
      <w:r>
        <w:rPr>
          <w:b/>
          <w:sz w:val="20"/>
          <w:szCs w:val="20"/>
        </w:rPr>
        <w:t>11.1. No se ha tenido en cuenta la afección al Parque Cultural del Maestrazgo.</w:t>
      </w:r>
    </w:p>
    <w:p>
      <w:pPr>
        <w:pStyle w:val="Normal"/>
        <w:spacing w:lineRule="auto" w:line="240" w:before="0" w:after="0"/>
        <w:jc w:val="both"/>
        <w:rPr>
          <w:b/>
          <w:b/>
          <w:sz w:val="20"/>
          <w:szCs w:val="20"/>
        </w:rPr>
      </w:pPr>
      <w:r>
        <w:rPr>
          <w:b/>
          <w:sz w:val="20"/>
          <w:szCs w:val="20"/>
        </w:rPr>
        <w:t>Dice la DIA:</w:t>
      </w:r>
    </w:p>
    <w:p>
      <w:pPr>
        <w:pStyle w:val="Normal"/>
        <w:spacing w:lineRule="auto" w:line="240" w:before="0" w:after="0"/>
        <w:jc w:val="both"/>
        <w:rPr>
          <w:b/>
          <w:b/>
          <w:sz w:val="8"/>
          <w:szCs w:val="8"/>
        </w:rPr>
      </w:pPr>
      <w:r>
        <w:rPr>
          <w:b/>
          <w:sz w:val="8"/>
          <w:szCs w:val="8"/>
        </w:rPr>
      </w:r>
    </w:p>
    <w:p>
      <w:pPr>
        <w:pStyle w:val="Normal"/>
        <w:spacing w:lineRule="auto" w:line="240" w:before="0" w:after="0"/>
        <w:ind w:left="708" w:hanging="0"/>
        <w:jc w:val="both"/>
        <w:rPr>
          <w:rFonts w:cs="Arial"/>
          <w:b/>
          <w:b/>
          <w:i/>
          <w:i/>
          <w:sz w:val="20"/>
          <w:szCs w:val="20"/>
        </w:rPr>
      </w:pPr>
      <w:r>
        <w:rPr>
          <w:rFonts w:cs="Arial"/>
          <w:b/>
          <w:i/>
          <w:sz w:val="20"/>
          <w:szCs w:val="20"/>
        </w:rPr>
        <w:t>“</w:t>
      </w:r>
      <w:r>
        <w:rPr>
          <w:rFonts w:cs="Arial"/>
          <w:b/>
          <w:i/>
          <w:sz w:val="20"/>
          <w:szCs w:val="20"/>
        </w:rPr>
        <w:t>En relación al Geoparque y al Parque cultural del Maestrazgo, el INAGA indica la necesidad de que el desarrollo del clúster eólico respete los valores que reconoce la declaración de ambos parques por el Gobierno de Aragón. En este sentido, esta Dirección General solicitó, en marzo de 2022, información complementaria sobre la interferencia del clúster eólico en el ámbito de estos dos espacios. En la respuesta del promotor se indica que la ocupación final en superficie del Clúster supone un 0,19 % de la superficie total del Geoparque, que no afecta a ningún LIG del Decreto 274/2015 del Gobierno de Aragón y que no modifica ni altera la integridad del mismo, en sus componentes geomorfológicos, relieve, suelo, vegetación e hidrología superficial”.</w:t>
      </w:r>
    </w:p>
    <w:p>
      <w:pPr>
        <w:pStyle w:val="Normal"/>
        <w:spacing w:lineRule="auto" w:line="240" w:before="0" w:after="0"/>
        <w:ind w:left="708" w:hanging="0"/>
        <w:jc w:val="both"/>
        <w:rPr>
          <w:rFonts w:cs="Arial"/>
          <w:b/>
          <w:b/>
          <w:i/>
          <w:i/>
          <w:sz w:val="20"/>
          <w:szCs w:val="20"/>
        </w:rPr>
      </w:pPr>
      <w:r>
        <w:rPr>
          <w:rFonts w:cs="Arial"/>
          <w:b/>
          <w:i/>
          <w:sz w:val="20"/>
          <w:szCs w:val="20"/>
        </w:rPr>
      </w:r>
    </w:p>
    <w:p>
      <w:pPr>
        <w:pStyle w:val="Normal"/>
        <w:spacing w:lineRule="auto" w:line="240" w:before="0" w:after="0"/>
        <w:jc w:val="both"/>
        <w:rPr>
          <w:rFonts w:cs="Arial"/>
          <w:b/>
          <w:b/>
          <w:sz w:val="20"/>
          <w:szCs w:val="20"/>
        </w:rPr>
      </w:pPr>
      <w:r>
        <w:rPr>
          <w:rFonts w:cs="Arial"/>
          <w:b/>
          <w:sz w:val="20"/>
          <w:szCs w:val="20"/>
        </w:rPr>
        <w:t>Dice la DIA:</w:t>
      </w:r>
    </w:p>
    <w:p>
      <w:pPr>
        <w:pStyle w:val="Normal"/>
        <w:spacing w:lineRule="auto" w:line="240" w:before="0" w:after="0"/>
        <w:jc w:val="both"/>
        <w:rPr>
          <w:rFonts w:cs="Arial"/>
          <w:b/>
          <w:b/>
          <w:sz w:val="8"/>
          <w:szCs w:val="8"/>
        </w:rPr>
      </w:pPr>
      <w:r>
        <w:rPr>
          <w:rFonts w:cs="Arial"/>
          <w:b/>
          <w:sz w:val="8"/>
          <w:szCs w:val="8"/>
        </w:rPr>
      </w:r>
    </w:p>
    <w:p>
      <w:pPr>
        <w:pStyle w:val="Normal"/>
        <w:spacing w:lineRule="auto" w:line="240" w:before="0" w:after="0"/>
        <w:ind w:left="708" w:hanging="0"/>
        <w:jc w:val="both"/>
        <w:rPr>
          <w:b/>
          <w:b/>
          <w:i/>
          <w:i/>
          <w:sz w:val="20"/>
          <w:szCs w:val="20"/>
        </w:rPr>
      </w:pPr>
      <w:r>
        <w:rPr>
          <w:b/>
          <w:i/>
          <w:sz w:val="20"/>
          <w:szCs w:val="20"/>
        </w:rPr>
        <w:t>“</w:t>
      </w:r>
      <w:r>
        <w:rPr>
          <w:b/>
          <w:i/>
          <w:sz w:val="20"/>
          <w:szCs w:val="20"/>
        </w:rPr>
        <w:t>El Colegio Oficial de Geólogos de Aragón presenta una alegación al proyecto del Clúster eólico del Maestrazgo y Gúdar, por la omisión en el EsIA de un análisis sobre espacios naturales protegidos al amparo del Decreto 274/2015, del Gobierno de Aragón, de 29 de septiembre, que establece la creación del Catálogo de Lugares de Interés Geológico de Aragón y se establece su régimen de protección. Este Decreto dota a los LIG de un estatus jurídico orientado a la protección de sus valores intrínsecos por su contenido geológico, en función de su importancia, representatividad, singularidad y rareza, estado de conservación y fragilidad”</w:t>
      </w:r>
    </w:p>
    <w:p>
      <w:pPr>
        <w:pStyle w:val="Normal"/>
        <w:spacing w:lineRule="auto" w:line="240" w:before="0" w:after="0"/>
        <w:jc w:val="both"/>
        <w:rPr>
          <w:b/>
          <w:b/>
          <w:i/>
          <w:i/>
          <w:sz w:val="20"/>
          <w:szCs w:val="20"/>
        </w:rPr>
      </w:pPr>
      <w:r>
        <w:rPr>
          <w:b/>
          <w:i/>
          <w:sz w:val="20"/>
          <w:szCs w:val="20"/>
        </w:rPr>
      </w:r>
    </w:p>
    <w:p>
      <w:pPr>
        <w:pStyle w:val="Normal"/>
        <w:spacing w:lineRule="auto" w:line="240" w:before="0" w:after="0"/>
        <w:jc w:val="both"/>
        <w:rPr>
          <w:b/>
          <w:b/>
          <w:sz w:val="20"/>
          <w:szCs w:val="20"/>
        </w:rPr>
      </w:pPr>
      <w:r>
        <w:rPr>
          <w:b/>
          <w:sz w:val="20"/>
          <w:szCs w:val="20"/>
        </w:rPr>
        <w:t>En concreto, cita el incluido en el Anexo I:</w:t>
      </w:r>
    </w:p>
    <w:p>
      <w:pPr>
        <w:pStyle w:val="Normal"/>
        <w:spacing w:lineRule="auto" w:line="240" w:before="0" w:after="0"/>
        <w:jc w:val="both"/>
        <w:rPr>
          <w:b/>
          <w:b/>
          <w:sz w:val="8"/>
          <w:szCs w:val="8"/>
        </w:rPr>
      </w:pPr>
      <w:r>
        <w:rPr>
          <w:b/>
          <w:sz w:val="8"/>
          <w:szCs w:val="8"/>
        </w:rPr>
      </w:r>
    </w:p>
    <w:p>
      <w:pPr>
        <w:pStyle w:val="Normal"/>
        <w:spacing w:lineRule="auto" w:line="240" w:before="0" w:after="0"/>
        <w:ind w:left="708" w:hanging="0"/>
        <w:jc w:val="both"/>
        <w:rPr>
          <w:rFonts w:cs="Arimo"/>
          <w:b/>
          <w:b/>
          <w:i/>
          <w:i/>
          <w:sz w:val="20"/>
          <w:szCs w:val="20"/>
        </w:rPr>
      </w:pPr>
      <w:r>
        <w:rPr>
          <w:rFonts w:cs="Arimo"/>
          <w:b/>
          <w:i/>
          <w:sz w:val="20"/>
          <w:szCs w:val="20"/>
        </w:rPr>
        <w:t>«Morrenas de nevero de Muela Mujer» (n.º 123), y los incluidos en el Anexo IV: «Serie cretácica y modelado estructural de Cantavieja. Pliegue de Cuarto Pelado» (n.º 144), «Lóbulos y bancos de solifluxión en Cuarto Pelado» (n.º 145) y «Poljé de Mosqueruela» (n.º 160).</w:t>
      </w:r>
    </w:p>
    <w:p>
      <w:pPr>
        <w:pStyle w:val="Normal"/>
        <w:spacing w:lineRule="auto" w:line="240" w:before="0" w:after="0"/>
        <w:ind w:left="708" w:hanging="0"/>
        <w:jc w:val="both"/>
        <w:rPr>
          <w:rFonts w:cs="Arimo"/>
          <w:b/>
          <w:b/>
          <w:i/>
          <w:i/>
          <w:sz w:val="20"/>
          <w:szCs w:val="20"/>
        </w:rPr>
      </w:pPr>
      <w:r>
        <w:rPr>
          <w:rFonts w:cs="Arimo"/>
          <w:b/>
          <w:i/>
          <w:sz w:val="20"/>
          <w:szCs w:val="20"/>
        </w:rPr>
        <w:t>El programa «Apadrina una roca» se expresa en similares términos, añadiendo un nuevo LIG catalogado en el Inventario Español de Lugares de Interés Geológico (IELIG), el LIG IB205 (Geosite MZ004) «Sucesión cretácica de Allepuz-Puerto de Villarroya-Fortanete» (Teruel)”</w:t>
      </w:r>
    </w:p>
    <w:p>
      <w:pPr>
        <w:pStyle w:val="Normal"/>
        <w:spacing w:lineRule="auto" w:line="240" w:before="0" w:after="0"/>
        <w:jc w:val="both"/>
        <w:rPr>
          <w:rFonts w:cs="Arial"/>
          <w:b/>
          <w:b/>
          <w:i/>
          <w:i/>
          <w:sz w:val="20"/>
          <w:szCs w:val="20"/>
        </w:rPr>
      </w:pPr>
      <w:r>
        <w:rPr>
          <w:rFonts w:cs="Arial"/>
          <w:b/>
          <w:i/>
          <w:sz w:val="20"/>
          <w:szCs w:val="20"/>
        </w:rPr>
      </w:r>
    </w:p>
    <w:p>
      <w:pPr>
        <w:pStyle w:val="Normal"/>
        <w:spacing w:lineRule="auto" w:line="240" w:before="0" w:after="0"/>
        <w:jc w:val="both"/>
        <w:rPr>
          <w:rFonts w:cs="Arial"/>
          <w:b/>
          <w:b/>
          <w:sz w:val="20"/>
          <w:szCs w:val="20"/>
        </w:rPr>
      </w:pPr>
      <w:r>
        <w:rPr>
          <w:rFonts w:cs="Arial"/>
          <w:b/>
          <w:sz w:val="20"/>
          <w:szCs w:val="20"/>
        </w:rPr>
        <w:t>11.2. Se ha incumplido gravemente la Ley 12/1997, de 3 de diciembre, reguladora de los Parques Culturales de Aragón, que en su artículo 1 establece que:</w:t>
      </w:r>
    </w:p>
    <w:p>
      <w:pPr>
        <w:pStyle w:val="Normal"/>
        <w:spacing w:lineRule="auto" w:line="240" w:before="0" w:after="0"/>
        <w:jc w:val="both"/>
        <w:rPr>
          <w:rFonts w:cs="Arial"/>
          <w:b/>
          <w:b/>
          <w:sz w:val="8"/>
          <w:szCs w:val="8"/>
        </w:rPr>
      </w:pPr>
      <w:r>
        <w:rPr>
          <w:rFonts w:cs="Arial"/>
          <w:b/>
          <w:sz w:val="8"/>
          <w:szCs w:val="8"/>
        </w:rPr>
      </w:r>
    </w:p>
    <w:p>
      <w:pPr>
        <w:pStyle w:val="Normal"/>
        <w:spacing w:lineRule="auto" w:line="240" w:before="0" w:after="0"/>
        <w:ind w:left="708" w:hanging="0"/>
        <w:jc w:val="both"/>
        <w:rPr>
          <w:rFonts w:cs="Arial"/>
          <w:b/>
          <w:b/>
          <w:i/>
          <w:i/>
          <w:sz w:val="20"/>
          <w:szCs w:val="20"/>
        </w:rPr>
      </w:pPr>
      <w:r>
        <w:rPr>
          <w:rFonts w:cs="Arial"/>
          <w:b/>
          <w:i/>
          <w:sz w:val="20"/>
          <w:szCs w:val="20"/>
        </w:rPr>
        <w:t>“</w:t>
      </w:r>
      <w:r>
        <w:rPr>
          <w:rFonts w:cs="Arial"/>
          <w:b/>
          <w:i/>
          <w:sz w:val="20"/>
          <w:szCs w:val="20"/>
          <w:u w:val="single"/>
        </w:rPr>
        <w:t>Un Parque Cultural</w:t>
      </w:r>
      <w:r>
        <w:rPr>
          <w:rFonts w:cs="Arial"/>
          <w:b/>
          <w:i/>
          <w:sz w:val="20"/>
          <w:szCs w:val="20"/>
        </w:rPr>
        <w:t xml:space="preserve"> está constituido por un territorio que contiene elementos relevantes del patrimonio cultural, integrados en un marco físico de valor paisajístico y/o ecológico singular, que </w:t>
      </w:r>
      <w:r>
        <w:rPr>
          <w:rFonts w:cs="Arial"/>
          <w:b/>
          <w:i/>
          <w:sz w:val="20"/>
          <w:szCs w:val="20"/>
          <w:u w:val="single"/>
        </w:rPr>
        <w:t>gozará de promoción y protección global en su conjunto, con especiales medidas de protección para dichos elementos relevantes</w:t>
      </w:r>
      <w:r>
        <w:rPr>
          <w:rFonts w:cs="Arial"/>
          <w:b/>
          <w:i/>
          <w:sz w:val="20"/>
          <w:szCs w:val="20"/>
        </w:rPr>
        <w:t>”.</w:t>
      </w:r>
    </w:p>
    <w:p>
      <w:pPr>
        <w:pStyle w:val="Normal"/>
        <w:spacing w:lineRule="auto" w:line="240" w:before="0" w:after="0"/>
        <w:ind w:left="708" w:hanging="0"/>
        <w:jc w:val="both"/>
        <w:rPr>
          <w:rFonts w:cs="Arial"/>
          <w:b/>
          <w:b/>
          <w:i/>
          <w:i/>
          <w:sz w:val="20"/>
          <w:szCs w:val="20"/>
        </w:rPr>
      </w:pPr>
      <w:r>
        <w:rPr>
          <w:rFonts w:cs="Arial"/>
          <w:b/>
          <w:i/>
          <w:sz w:val="20"/>
          <w:szCs w:val="20"/>
        </w:rPr>
      </w:r>
    </w:p>
    <w:p>
      <w:pPr>
        <w:pStyle w:val="Normal"/>
        <w:spacing w:lineRule="auto" w:line="240" w:before="0" w:after="0"/>
        <w:jc w:val="both"/>
        <w:rPr>
          <w:rFonts w:cs="Arial"/>
          <w:b/>
          <w:b/>
          <w:sz w:val="20"/>
          <w:szCs w:val="20"/>
        </w:rPr>
      </w:pPr>
      <w:r>
        <w:rPr>
          <w:rFonts w:cs="Arial"/>
          <w:b/>
          <w:sz w:val="20"/>
          <w:szCs w:val="20"/>
        </w:rPr>
        <w:t>El artículo 2 de la ley 12/1997 de 3 de diciembre, reguladora de los Parques Culturales de Aragón establece lo siguiente:</w:t>
      </w:r>
    </w:p>
    <w:p>
      <w:pPr>
        <w:pStyle w:val="Normal"/>
        <w:spacing w:lineRule="auto" w:line="240" w:before="0" w:after="0"/>
        <w:ind w:left="708" w:hanging="0"/>
        <w:jc w:val="both"/>
        <w:rPr>
          <w:rFonts w:cs="Arial"/>
          <w:b/>
          <w:b/>
          <w:i/>
          <w:i/>
          <w:sz w:val="20"/>
          <w:szCs w:val="20"/>
          <w:u w:val="single"/>
        </w:rPr>
      </w:pPr>
      <w:r>
        <w:rPr>
          <w:rFonts w:cs="Arial"/>
          <w:b/>
          <w:i/>
          <w:sz w:val="20"/>
          <w:szCs w:val="20"/>
        </w:rPr>
        <w:t>“</w:t>
      </w:r>
      <w:r>
        <w:rPr>
          <w:rFonts w:cs="Arial"/>
          <w:b/>
          <w:i/>
          <w:sz w:val="20"/>
          <w:szCs w:val="20"/>
        </w:rPr>
        <w:t xml:space="preserve">En el espacio de un Parque Cultural </w:t>
      </w:r>
      <w:r>
        <w:rPr>
          <w:rFonts w:cs="Arial"/>
          <w:b/>
          <w:i/>
          <w:sz w:val="20"/>
          <w:szCs w:val="20"/>
          <w:u w:val="single"/>
        </w:rPr>
        <w:t>las actuaciones de las distintas administraciones</w:t>
      </w:r>
      <w:r>
        <w:rPr>
          <w:rFonts w:cs="Arial"/>
          <w:b/>
          <w:i/>
          <w:sz w:val="20"/>
          <w:szCs w:val="20"/>
        </w:rPr>
        <w:t xml:space="preserve"> y entidades </w:t>
      </w:r>
      <w:r>
        <w:rPr>
          <w:rFonts w:cs="Arial"/>
          <w:b/>
          <w:i/>
          <w:sz w:val="20"/>
          <w:szCs w:val="20"/>
          <w:u w:val="single"/>
        </w:rPr>
        <w:t>se orientarán hacia la protección y restauración del patrimonio, la acción cultural, el desarrollo rural sostenible y el equilibrio territorial.</w:t>
      </w:r>
    </w:p>
    <w:p>
      <w:pPr>
        <w:pStyle w:val="Normal"/>
        <w:spacing w:lineRule="auto" w:line="240" w:before="0" w:after="0"/>
        <w:ind w:left="708" w:hanging="0"/>
        <w:jc w:val="both"/>
        <w:rPr>
          <w:rFonts w:cs="Arial"/>
          <w:b/>
          <w:b/>
          <w:i/>
          <w:i/>
          <w:sz w:val="20"/>
          <w:szCs w:val="20"/>
          <w:u w:val="single"/>
        </w:rPr>
      </w:pPr>
      <w:r>
        <w:rPr>
          <w:rFonts w:cs="Arial"/>
          <w:b/>
          <w:i/>
          <w:sz w:val="20"/>
          <w:szCs w:val="20"/>
        </w:rPr>
        <w:t xml:space="preserve">En el Parque Cultural </w:t>
      </w:r>
      <w:r>
        <w:rPr>
          <w:rFonts w:cs="Arial"/>
          <w:b/>
          <w:i/>
          <w:sz w:val="20"/>
          <w:szCs w:val="20"/>
          <w:u w:val="single"/>
        </w:rPr>
        <w:t>deberán coordinarse las políticas territoriales con las sectoriales, especialmente las de patrimonio cultural y natural, fomento de la actividad económica, turismo rural, infraestructuras y equipamientos”.</w:t>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b/>
          <w:sz w:val="20"/>
          <w:szCs w:val="20"/>
        </w:rPr>
      </w:r>
    </w:p>
    <w:p>
      <w:pPr>
        <w:pStyle w:val="Default"/>
        <w:jc w:val="both"/>
        <w:rPr>
          <w:rFonts w:ascii="Calibri" w:hAnsi="Calibri" w:asciiTheme="minorHAnsi" w:hAnsiTheme="minorHAnsi"/>
          <w:b/>
          <w:b/>
          <w:color w:val="auto"/>
          <w:sz w:val="20"/>
          <w:szCs w:val="20"/>
        </w:rPr>
      </w:pPr>
      <w:r>
        <w:rPr>
          <w:rFonts w:ascii="Calibri" w:hAnsi="Calibri" w:asciiTheme="minorHAnsi" w:hAnsiTheme="minorHAnsi"/>
          <w:b/>
          <w:color w:val="auto"/>
          <w:sz w:val="20"/>
          <w:szCs w:val="20"/>
        </w:rPr>
        <w:t>11.3. Varios parques eólicos cercanos han obtenido Declaración de impacto ambiental desfavorable al estar ubicados dentro del Parque Cultural del Maestrazgo y Geoparque del Maestrazgo.</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Default"/>
        <w:jc w:val="both"/>
        <w:rPr>
          <w:b/>
          <w:b/>
          <w:bCs/>
          <w:color w:val="auto"/>
          <w:sz w:val="20"/>
          <w:szCs w:val="20"/>
        </w:rPr>
      </w:pPr>
      <w:r>
        <w:rPr>
          <w:rFonts w:ascii="Calibri" w:hAnsi="Calibri" w:asciiTheme="minorHAnsi" w:hAnsiTheme="minorHAnsi"/>
          <w:b/>
          <w:color w:val="auto"/>
          <w:sz w:val="20"/>
          <w:szCs w:val="20"/>
        </w:rPr>
        <w:t xml:space="preserve">En el Boletín Oficial de Aragón nº 81 de 28 de abril de 2022 se contiene la </w:t>
      </w:r>
      <w:r>
        <w:rPr>
          <w:rFonts w:ascii="Calibri" w:hAnsi="Calibri" w:asciiTheme="minorHAnsi" w:hAnsiTheme="minorHAnsi"/>
          <w:b/>
          <w:bCs/>
          <w:color w:val="auto"/>
          <w:sz w:val="20"/>
          <w:szCs w:val="20"/>
        </w:rPr>
        <w:t>Resolución de 10 de febrero de 2022, del Instituto Aragonés de Gestión Ambiental, por la que se formula la declaración de impacto ambiental del Proyecto de parque eóli</w:t>
        <w:softHyphen/>
        <w:t>co “Loma de la Solana” :</w:t>
      </w:r>
    </w:p>
    <w:p>
      <w:pPr>
        <w:pStyle w:val="Default"/>
        <w:ind w:left="708" w:hanging="0"/>
        <w:rPr>
          <w:rFonts w:ascii="Calibri" w:hAnsi="Calibri" w:asciiTheme="minorHAnsi" w:hAnsiTheme="minorHAnsi"/>
          <w:b/>
          <w:b/>
          <w:i/>
          <w:i/>
          <w:color w:val="auto"/>
          <w:sz w:val="8"/>
          <w:szCs w:val="8"/>
        </w:rPr>
      </w:pPr>
      <w:r>
        <w:rPr>
          <w:rFonts w:asciiTheme="minorHAnsi" w:hAnsiTheme="minorHAnsi" w:ascii="Calibri" w:hAnsi="Calibri"/>
          <w:b/>
          <w:i/>
          <w:color w:val="auto"/>
          <w:sz w:val="8"/>
          <w:szCs w:val="8"/>
        </w:rPr>
      </w:r>
    </w:p>
    <w:p>
      <w:pPr>
        <w:pStyle w:val="Default"/>
        <w:ind w:left="708" w:hanging="0"/>
        <w:jc w:val="both"/>
        <w:rPr>
          <w:rFonts w:ascii="Calibri" w:hAnsi="Calibri" w:asciiTheme="minorHAnsi" w:hAnsiTheme="minorHAnsi"/>
          <w:b/>
          <w:b/>
          <w:i/>
          <w:i/>
          <w:color w:val="auto"/>
          <w:sz w:val="20"/>
          <w:szCs w:val="20"/>
        </w:rPr>
      </w:pPr>
      <w:r>
        <w:rPr>
          <w:rFonts w:ascii="Calibri" w:hAnsi="Calibri" w:asciiTheme="minorHAnsi" w:hAnsiTheme="minorHAnsi"/>
          <w:b/>
          <w:i/>
          <w:color w:val="auto"/>
          <w:sz w:val="20"/>
          <w:szCs w:val="20"/>
        </w:rPr>
        <w:t>“</w:t>
      </w:r>
      <w:r>
        <w:rPr>
          <w:rFonts w:ascii="Calibri" w:hAnsi="Calibri" w:asciiTheme="minorHAnsi" w:hAnsiTheme="minorHAnsi"/>
          <w:b/>
          <w:i/>
          <w:color w:val="auto"/>
          <w:sz w:val="20"/>
          <w:szCs w:val="20"/>
        </w:rPr>
        <w:t>A los solos efectos ambientales la evaluación de impacto ambiental del Proyecto de parque eólico “Loma de la Solana” resulta desfavorable e incompatible con la adecuada conservación del patrimonio natural, geológico y cultural, debido a los siguientes motivos: (…)</w:t>
      </w:r>
    </w:p>
    <w:p>
      <w:pPr>
        <w:pStyle w:val="Default"/>
        <w:ind w:left="708" w:hanging="0"/>
        <w:rPr>
          <w:rFonts w:ascii="Calibri" w:hAnsi="Calibri" w:asciiTheme="minorHAnsi" w:hAnsiTheme="minorHAnsi"/>
          <w:b/>
          <w:b/>
          <w:i/>
          <w:i/>
          <w:color w:val="auto"/>
          <w:sz w:val="8"/>
          <w:szCs w:val="8"/>
        </w:rPr>
      </w:pPr>
      <w:r>
        <w:rPr>
          <w:rFonts w:asciiTheme="minorHAnsi" w:hAnsiTheme="minorHAnsi" w:ascii="Calibri" w:hAnsi="Calibri"/>
          <w:b/>
          <w:i/>
          <w:color w:val="auto"/>
          <w:sz w:val="8"/>
          <w:szCs w:val="8"/>
        </w:rPr>
      </w:r>
    </w:p>
    <w:p>
      <w:pPr>
        <w:pStyle w:val="NormalWeb"/>
        <w:shd w:val="clear" w:color="auto" w:fill="FFFFFF"/>
        <w:spacing w:beforeAutospacing="0" w:before="0" w:afterAutospacing="0" w:after="0"/>
        <w:ind w:left="708" w:hanging="0"/>
        <w:jc w:val="both"/>
        <w:rPr>
          <w:rFonts w:ascii="Calibri" w:hAnsi="Calibri" w:cs="Arial" w:asciiTheme="minorHAnsi" w:hAnsiTheme="minorHAnsi"/>
          <w:b/>
          <w:b/>
          <w:i/>
          <w:i/>
          <w:sz w:val="20"/>
          <w:szCs w:val="20"/>
        </w:rPr>
      </w:pPr>
      <w:r>
        <w:rPr>
          <w:rFonts w:ascii="Calibri" w:hAnsi="Calibri" w:asciiTheme="minorHAnsi" w:hAnsiTheme="minorHAnsi"/>
          <w:b/>
          <w:i/>
          <w:sz w:val="20"/>
          <w:szCs w:val="20"/>
        </w:rPr>
        <w:t>2. Respecto a los impactos sobre el patrimonio geológico, paisajístico y visual, el proyecto de parque eólico “Loma de la Solana” supondrá efectos significativos directos sobre los va</w:t>
        <w:softHyphen/>
        <w:t>lores que han motivado la inclusión de esta zona en el Parque Cultural del Maestrazgo y Geoparque del Maestrazgo, figura amparada por Decreto 274/2015, de 29 de septiembre, del Gobierno de Aragón, por el que se crea el Catálogo de Lugares de Interés Geológico de Aragón y se establece su régimen de protección, por el Decreto Legislativo 1/2015, de 29 de julio, del Gobierno de Aragón, por el que se aprueba el texto refundido de la Ley de Espacios Protegidos de Aragón, donde los Geoparques se incluyen como Áreas Naturales Singulares y se incluye en el Catálogo de espacios de la Red Natural de Aragón, y por la Ley 42/2007, de 13 de diciembre, del Patrimonio Natural y de la Biodiversidad, modificada por el Ley 33/2015, de 21 de septiembre, en la que se incluyen entre las Áreas protegidas por instrumentos inter</w:t>
        <w:softHyphen/>
        <w:t>nacionales como los Geoparques declarados por la UNESCO”.</w:t>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b/>
          <w:sz w:val="20"/>
          <w:szCs w:val="20"/>
        </w:rPr>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asciiTheme="minorHAnsi" w:hAnsiTheme="minorHAnsi"/>
          <w:b/>
          <w:sz w:val="20"/>
          <w:szCs w:val="20"/>
        </w:rPr>
        <w:t>Dice también:</w:t>
      </w:r>
    </w:p>
    <w:p>
      <w:pPr>
        <w:pStyle w:val="NormalWeb"/>
        <w:shd w:val="clear" w:color="auto" w:fill="FFFFFF"/>
        <w:spacing w:beforeAutospacing="0" w:before="0" w:afterAutospacing="0" w:after="0"/>
        <w:jc w:val="both"/>
        <w:rPr>
          <w:rFonts w:ascii="Calibri" w:hAnsi="Calibri" w:cs="Arial" w:asciiTheme="minorHAnsi" w:hAnsiTheme="minorHAnsi"/>
          <w:b/>
          <w:b/>
          <w:sz w:val="8"/>
          <w:szCs w:val="8"/>
        </w:rPr>
      </w:pPr>
      <w:r>
        <w:rPr>
          <w:rFonts w:cs="Arial" w:ascii="Calibri" w:hAnsi="Calibri"/>
          <w:b/>
          <w:sz w:val="8"/>
          <w:szCs w:val="8"/>
        </w:rPr>
      </w:r>
    </w:p>
    <w:p>
      <w:pPr>
        <w:pStyle w:val="Pa7"/>
        <w:spacing w:lineRule="auto" w:line="240"/>
        <w:ind w:left="708" w:hanging="0"/>
        <w:jc w:val="both"/>
        <w:rPr>
          <w:rFonts w:ascii="Calibri" w:hAnsi="Calibri" w:asciiTheme="minorHAnsi" w:hAnsiTheme="minorHAnsi"/>
          <w:b/>
          <w:b/>
          <w:i/>
          <w:i/>
          <w:sz w:val="20"/>
          <w:szCs w:val="20"/>
        </w:rPr>
      </w:pPr>
      <w:r>
        <w:rPr>
          <w:rFonts w:ascii="Calibri" w:hAnsi="Calibri" w:asciiTheme="minorHAnsi" w:hAnsiTheme="minorHAnsi"/>
          <w:b/>
          <w:i/>
          <w:sz w:val="20"/>
          <w:szCs w:val="20"/>
        </w:rPr>
        <w:t>“</w:t>
      </w:r>
      <w:r>
        <w:rPr>
          <w:rFonts w:ascii="Calibri" w:hAnsi="Calibri" w:asciiTheme="minorHAnsi" w:hAnsiTheme="minorHAnsi"/>
          <w:b/>
          <w:i/>
          <w:sz w:val="20"/>
          <w:szCs w:val="20"/>
        </w:rPr>
        <w:t>Respecto a los impactos sobre la Red Natural de Aragón y por impacto paisajístico y vi</w:t>
        <w:softHyphen/>
        <w:t>sual, el proyecto afectaría de forma significativa a los valores geológicos y naturales que han motivado la inclusión de esta zona en el Parque Cultural del Maestrazgo, que forma parte a su vez del Geoparque del Maestrazgo, figura auspiciada por la UNESCO y que incluye el Parque Geológico de Aliaga, recogido en el Decreto 274/2015, de 29 de septiembre, del Go</w:t>
        <w:softHyphen/>
        <w:t>bierno de Aragón, por el que se crea el Catálogo de Lugares de Interés Geológico de Aragón y se establece su régimen de protección. Según el Decreto Legislativo 1/2015, de 29 de julio, del Gobierno de Aragón, por el que se aprueba el texto refundido de la Ley de Espacios Pro</w:t>
        <w:softHyphen/>
        <w:t>tegidos de Aragón, los Geoparques se incluyen como Áreas Naturales Singulares y se incluye en el Catálogo de espacios de la Red Natural de Aragón. En el artículo 50 de la Ley 42/2007, de 13 de diciembre, del Patrimonio Natural y de la Biodiversidad, modificada por el Ley 33/2015, de 21 de septiembre, se incluyen entre las Áreas protegidas por instrumentos inter</w:t>
        <w:softHyphen/>
        <w:t>nacionales los Geoparques declarados por la UNESCO.</w:t>
      </w:r>
    </w:p>
    <w:p>
      <w:pPr>
        <w:pStyle w:val="Default"/>
        <w:rPr>
          <w:rFonts w:ascii="Calibri" w:hAnsi="Calibri" w:asciiTheme="minorHAnsi" w:hAnsiTheme="minorHAnsi"/>
          <w:color w:val="auto"/>
          <w:sz w:val="8"/>
          <w:szCs w:val="8"/>
        </w:rPr>
      </w:pPr>
      <w:r>
        <w:rPr>
          <w:rFonts w:asciiTheme="minorHAnsi" w:hAnsiTheme="minorHAnsi" w:ascii="Calibri" w:hAnsi="Calibri"/>
          <w:color w:val="auto"/>
          <w:sz w:val="8"/>
          <w:szCs w:val="8"/>
        </w:rPr>
      </w:r>
    </w:p>
    <w:p>
      <w:pPr>
        <w:pStyle w:val="NormalWeb"/>
        <w:shd w:val="clear" w:color="auto" w:fill="FFFFFF"/>
        <w:spacing w:beforeAutospacing="0" w:before="0" w:afterAutospacing="0" w:after="0"/>
        <w:ind w:left="708" w:hanging="0"/>
        <w:jc w:val="both"/>
        <w:rPr>
          <w:rFonts w:ascii="Calibri" w:hAnsi="Calibri" w:asciiTheme="minorHAnsi" w:hAnsiTheme="minorHAnsi"/>
          <w:b/>
          <w:b/>
          <w:i/>
          <w:i/>
          <w:sz w:val="20"/>
          <w:szCs w:val="20"/>
        </w:rPr>
      </w:pPr>
      <w:r>
        <w:rPr>
          <w:rFonts w:ascii="Calibri" w:hAnsi="Calibri" w:asciiTheme="minorHAnsi" w:hAnsiTheme="minorHAnsi"/>
          <w:b/>
          <w:i/>
          <w:sz w:val="20"/>
          <w:szCs w:val="20"/>
          <w:u w:val="single"/>
        </w:rPr>
        <w:t>El estudio de alternativas del proyecto debería haber planteado ubicaciones que evitaran la afección a esta área ambientalmente sensible tipificada como Área Natural Singular e in</w:t>
        <w:softHyphen/>
        <w:t>cluida en la Red Natural de Aragón</w:t>
      </w:r>
      <w:r>
        <w:rPr>
          <w:rFonts w:ascii="Calibri" w:hAnsi="Calibri" w:asciiTheme="minorHAnsi" w:hAnsiTheme="minorHAnsi"/>
          <w:b/>
          <w:i/>
          <w:sz w:val="20"/>
          <w:szCs w:val="20"/>
        </w:rPr>
        <w:t>. De la misma forma, el parque eólico será visible desde varias carreteras, caminos y núcleos urbanos situados en una zona de importante afluencia turística por sus valores geológicos, como es el Parque Cultural del Maestrazgo y del Geo</w:t>
        <w:softHyphen/>
        <w:t>parque del Maestrazgo. El análisis de alternativas debería haber contemplado otras ubica</w:t>
        <w:softHyphen/>
        <w:t>ciones para las instalaciones de manera que se hubieran evitado afecciones sobre los hábi</w:t>
        <w:softHyphen/>
        <w:t>tats de fauna, vegetación natural, dominio público forestal y pecuario y elementos integrantes de los patrimonios cultural y geológico de la zona. Se considera que en estudio de impacto ambiental no analiza suficientemente en detalle las afecciones al Parque Cultural del Maes</w:t>
        <w:softHyphen/>
        <w:t>trazgo en el análisis de alternativas, especialmente en cuanto a los impactos directos y pai</w:t>
        <w:softHyphen/>
        <w:t>sajísticos sobre el territorio del parque cultural”.</w:t>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b/>
          <w:sz w:val="20"/>
          <w:szCs w:val="20"/>
        </w:rPr>
      </w:r>
    </w:p>
    <w:p>
      <w:pPr>
        <w:pStyle w:val="Normal"/>
        <w:spacing w:lineRule="auto" w:line="240" w:before="0" w:after="0"/>
        <w:jc w:val="both"/>
        <w:rPr>
          <w:rFonts w:cs="Arial"/>
          <w:b/>
          <w:b/>
          <w:sz w:val="20"/>
          <w:szCs w:val="20"/>
        </w:rPr>
      </w:pPr>
      <w:r>
        <w:rPr>
          <w:rFonts w:eastAsia="Times New Roman" w:cs="DejaVuSans"/>
          <w:b/>
          <w:sz w:val="20"/>
          <w:szCs w:val="20"/>
          <w:lang w:eastAsia="es-ES"/>
        </w:rPr>
        <w:t xml:space="preserve">11.4. </w:t>
      </w:r>
      <w:r>
        <w:rPr>
          <w:rFonts w:cs="Arial"/>
          <w:b/>
          <w:sz w:val="20"/>
          <w:szCs w:val="20"/>
        </w:rPr>
        <w:t>Ubicar estos proyectos sobre esta zona incumple gravemente la Ley 12/1997, de 3 de diciembre, reguladora de los Parques Culturales de Aragón, que en su artículo 1 establece que:</w:t>
      </w:r>
    </w:p>
    <w:p>
      <w:pPr>
        <w:pStyle w:val="Normal"/>
        <w:spacing w:lineRule="auto" w:line="240" w:before="0" w:after="0"/>
        <w:jc w:val="both"/>
        <w:rPr>
          <w:rFonts w:cs="Arial"/>
          <w:b/>
          <w:b/>
          <w:sz w:val="8"/>
          <w:szCs w:val="8"/>
        </w:rPr>
      </w:pPr>
      <w:r>
        <w:rPr>
          <w:rFonts w:cs="Arial"/>
          <w:b/>
          <w:sz w:val="8"/>
          <w:szCs w:val="8"/>
        </w:rPr>
      </w:r>
    </w:p>
    <w:p>
      <w:pPr>
        <w:pStyle w:val="Normal"/>
        <w:spacing w:lineRule="auto" w:line="240" w:before="0" w:after="0"/>
        <w:ind w:left="708" w:hanging="0"/>
        <w:jc w:val="both"/>
        <w:rPr>
          <w:rFonts w:cs="Arial"/>
          <w:b/>
          <w:b/>
          <w:i/>
          <w:i/>
          <w:sz w:val="20"/>
          <w:szCs w:val="20"/>
        </w:rPr>
      </w:pPr>
      <w:r>
        <w:rPr>
          <w:rFonts w:cs="Arial"/>
          <w:b/>
          <w:i/>
          <w:sz w:val="20"/>
          <w:szCs w:val="20"/>
        </w:rPr>
        <w:t>“</w:t>
      </w:r>
      <w:r>
        <w:rPr>
          <w:rFonts w:cs="Arial"/>
          <w:b/>
          <w:i/>
          <w:sz w:val="20"/>
          <w:szCs w:val="20"/>
          <w:u w:val="single"/>
        </w:rPr>
        <w:t>Un Parque Cultural</w:t>
      </w:r>
      <w:r>
        <w:rPr>
          <w:rFonts w:cs="Arial"/>
          <w:b/>
          <w:i/>
          <w:sz w:val="20"/>
          <w:szCs w:val="20"/>
        </w:rPr>
        <w:t xml:space="preserve"> está constituido por un territorio que contiene elementos relevantes del patrimonio cultural, integrados en un marco físico de valor paisajístico y/o ecológico singular, que </w:t>
      </w:r>
      <w:r>
        <w:rPr>
          <w:rFonts w:cs="Arial"/>
          <w:b/>
          <w:i/>
          <w:sz w:val="20"/>
          <w:szCs w:val="20"/>
          <w:u w:val="single"/>
        </w:rPr>
        <w:t>gozará de promoción y protección global en su conjunto, con especiales medidas de protección para dichos elementos relevantes</w:t>
      </w:r>
      <w:r>
        <w:rPr>
          <w:rFonts w:cs="Arial"/>
          <w:b/>
          <w:i/>
          <w:sz w:val="20"/>
          <w:szCs w:val="20"/>
        </w:rPr>
        <w:t>”.</w:t>
      </w:r>
    </w:p>
    <w:p>
      <w:pPr>
        <w:pStyle w:val="Normal"/>
        <w:spacing w:lineRule="auto" w:line="240" w:before="0" w:after="0"/>
        <w:ind w:left="708" w:hanging="0"/>
        <w:jc w:val="both"/>
        <w:rPr>
          <w:rFonts w:cs="Arial"/>
          <w:b/>
          <w:b/>
          <w:i/>
          <w:i/>
          <w:sz w:val="20"/>
          <w:szCs w:val="20"/>
        </w:rPr>
      </w:pPr>
      <w:r>
        <w:rPr>
          <w:rFonts w:cs="Arial"/>
          <w:b/>
          <w:i/>
          <w:sz w:val="20"/>
          <w:szCs w:val="20"/>
        </w:rPr>
      </w:r>
    </w:p>
    <w:p>
      <w:pPr>
        <w:pStyle w:val="Normal"/>
        <w:spacing w:lineRule="auto" w:line="240" w:before="0" w:after="0"/>
        <w:jc w:val="both"/>
        <w:rPr>
          <w:rFonts w:cs="Arial"/>
          <w:b/>
          <w:b/>
          <w:sz w:val="20"/>
          <w:szCs w:val="20"/>
        </w:rPr>
      </w:pPr>
      <w:r>
        <w:rPr>
          <w:rFonts w:cs="Arial"/>
          <w:b/>
          <w:sz w:val="20"/>
          <w:szCs w:val="20"/>
        </w:rPr>
        <w:t>11.5. El artículo 2 de la ley 12/1997 de 3 de diciembre, reguladora de los Parques Culturales de Aragón dice:</w:t>
      </w:r>
    </w:p>
    <w:p>
      <w:pPr>
        <w:pStyle w:val="Normal"/>
        <w:spacing w:lineRule="auto" w:line="240" w:before="0" w:after="0"/>
        <w:ind w:left="708" w:hanging="0"/>
        <w:jc w:val="both"/>
        <w:rPr>
          <w:rFonts w:cs="Arial"/>
          <w:b/>
          <w:b/>
          <w:i/>
          <w:i/>
          <w:sz w:val="20"/>
          <w:szCs w:val="20"/>
          <w:u w:val="single"/>
        </w:rPr>
      </w:pPr>
      <w:r>
        <w:rPr>
          <w:rFonts w:cs="Arial"/>
          <w:b/>
          <w:i/>
          <w:sz w:val="20"/>
          <w:szCs w:val="20"/>
        </w:rPr>
        <w:t>“</w:t>
      </w:r>
      <w:r>
        <w:rPr>
          <w:rFonts w:cs="Arial"/>
          <w:b/>
          <w:i/>
          <w:sz w:val="20"/>
          <w:szCs w:val="20"/>
        </w:rPr>
        <w:t xml:space="preserve">En el espacio de un Parque Cultural </w:t>
      </w:r>
      <w:r>
        <w:rPr>
          <w:rFonts w:cs="Arial"/>
          <w:b/>
          <w:i/>
          <w:sz w:val="20"/>
          <w:szCs w:val="20"/>
          <w:u w:val="single"/>
        </w:rPr>
        <w:t>las actuaciones de las distintas administraciones</w:t>
      </w:r>
      <w:r>
        <w:rPr>
          <w:rFonts w:cs="Arial"/>
          <w:b/>
          <w:i/>
          <w:sz w:val="20"/>
          <w:szCs w:val="20"/>
        </w:rPr>
        <w:t xml:space="preserve"> y entidades </w:t>
      </w:r>
      <w:r>
        <w:rPr>
          <w:rFonts w:cs="Arial"/>
          <w:b/>
          <w:i/>
          <w:sz w:val="20"/>
          <w:szCs w:val="20"/>
          <w:u w:val="single"/>
        </w:rPr>
        <w:t>se orientarán hacia la protección y restauración del patrimonio, la acción cultural, el desarrollo rural sostenible y el equilibrio territorial.</w:t>
      </w:r>
    </w:p>
    <w:p>
      <w:pPr>
        <w:pStyle w:val="Normal"/>
        <w:spacing w:lineRule="auto" w:line="240" w:before="0" w:after="0"/>
        <w:ind w:left="708" w:hanging="0"/>
        <w:jc w:val="both"/>
        <w:rPr>
          <w:rFonts w:cs="Arial"/>
          <w:b/>
          <w:b/>
          <w:i/>
          <w:i/>
          <w:sz w:val="20"/>
          <w:szCs w:val="20"/>
          <w:u w:val="single"/>
        </w:rPr>
      </w:pPr>
      <w:r>
        <w:rPr>
          <w:rFonts w:cs="Arial"/>
          <w:b/>
          <w:i/>
          <w:sz w:val="20"/>
          <w:szCs w:val="20"/>
        </w:rPr>
        <w:t xml:space="preserve">En el Parque Cultural </w:t>
      </w:r>
      <w:r>
        <w:rPr>
          <w:rFonts w:cs="Arial"/>
          <w:b/>
          <w:i/>
          <w:sz w:val="20"/>
          <w:szCs w:val="20"/>
          <w:u w:val="single"/>
        </w:rPr>
        <w:t>deberán coordinarse las políticas territoriales con las sectoriales, especialmente las de patrimonio cultural y natural, fomento de la actividad económica, turismo rural, infraestructuras y equipamientos”.</w:t>
      </w:r>
    </w:p>
    <w:p>
      <w:pPr>
        <w:pStyle w:val="Normal"/>
        <w:spacing w:lineRule="auto" w:line="240" w:before="0" w:after="0"/>
        <w:ind w:left="708" w:hanging="0"/>
        <w:jc w:val="both"/>
        <w:rPr>
          <w:rFonts w:cs="Arial"/>
          <w:b/>
          <w:b/>
          <w:i/>
          <w:i/>
          <w:sz w:val="20"/>
          <w:szCs w:val="20"/>
        </w:rPr>
      </w:pPr>
      <w:r>
        <w:rPr>
          <w:rFonts w:cs="Arial"/>
          <w:b/>
          <w:i/>
          <w:sz w:val="20"/>
          <w:szCs w:val="20"/>
        </w:rPr>
      </w:r>
    </w:p>
    <w:p>
      <w:pPr>
        <w:pStyle w:val="Normal"/>
        <w:spacing w:lineRule="auto" w:line="240" w:before="0" w:after="0"/>
        <w:jc w:val="both"/>
        <w:rPr>
          <w:rFonts w:cs="Arial"/>
          <w:b/>
          <w:b/>
          <w:sz w:val="20"/>
          <w:szCs w:val="20"/>
        </w:rPr>
      </w:pPr>
      <w:r>
        <w:rPr>
          <w:rFonts w:cs="Arial"/>
          <w:b/>
          <w:sz w:val="20"/>
          <w:szCs w:val="20"/>
        </w:rPr>
        <w:t xml:space="preserve">11.6. El artículo 50 de la Ley 42/2007, de 13 de diciembre, del Patrimonio Natural y de la Biodiversidad incluye a los Geoparques dentro de las Áreas protegidas por instrumentos internacionales: </w:t>
      </w:r>
    </w:p>
    <w:p>
      <w:pPr>
        <w:pStyle w:val="Normal"/>
        <w:spacing w:lineRule="auto" w:line="240" w:before="0" w:after="0"/>
        <w:jc w:val="both"/>
        <w:rPr>
          <w:rFonts w:cs="Arial"/>
          <w:b/>
          <w:b/>
          <w:sz w:val="8"/>
          <w:szCs w:val="8"/>
        </w:rPr>
      </w:pPr>
      <w:r>
        <w:rPr>
          <w:rFonts w:cs="Arial"/>
          <w:b/>
          <w:sz w:val="8"/>
          <w:szCs w:val="8"/>
        </w:rPr>
      </w:r>
    </w:p>
    <w:p>
      <w:pPr>
        <w:pStyle w:val="Normal"/>
        <w:shd w:val="clear" w:color="auto" w:fill="FFFFFF"/>
        <w:spacing w:lineRule="auto" w:line="240" w:before="0" w:after="0"/>
        <w:ind w:left="708" w:hanging="0"/>
        <w:jc w:val="both"/>
        <w:rPr>
          <w:rFonts w:eastAsia="Times New Roman" w:cs="Arial"/>
          <w:b/>
          <w:b/>
          <w:i/>
          <w:i/>
          <w:sz w:val="20"/>
          <w:szCs w:val="20"/>
          <w:lang w:eastAsia="es-ES"/>
        </w:rPr>
      </w:pPr>
      <w:r>
        <w:rPr>
          <w:rFonts w:eastAsia="Times New Roman" w:cs="Arial"/>
          <w:b/>
          <w:i/>
          <w:sz w:val="20"/>
          <w:szCs w:val="20"/>
          <w:lang w:eastAsia="es-ES"/>
        </w:rPr>
        <w:t>“</w:t>
      </w:r>
      <w:r>
        <w:rPr>
          <w:rFonts w:eastAsia="Times New Roman" w:cs="Arial"/>
          <w:b/>
          <w:i/>
          <w:sz w:val="20"/>
          <w:szCs w:val="20"/>
          <w:lang w:eastAsia="es-ES"/>
        </w:rPr>
        <w:t xml:space="preserve">Tendrán la </w:t>
      </w:r>
      <w:r>
        <w:rPr>
          <w:rFonts w:eastAsia="Times New Roman" w:cs="Arial"/>
          <w:b/>
          <w:i/>
          <w:sz w:val="20"/>
          <w:szCs w:val="20"/>
          <w:u w:val="single"/>
          <w:lang w:eastAsia="es-ES"/>
        </w:rPr>
        <w:t>consideración de áreas protegidas por instrumentos internacionales</w:t>
      </w:r>
      <w:r>
        <w:rPr>
          <w:rFonts w:eastAsia="Times New Roman" w:cs="Arial"/>
          <w:b/>
          <w:i/>
          <w:sz w:val="20"/>
          <w:szCs w:val="20"/>
          <w:lang w:eastAsia="es-ES"/>
        </w:rPr>
        <w:t xml:space="preserve"> todos aquellos espacios naturales que sean formalmente designados de conformidad con lo dispuesto en los Convenios y Acuerdos internacionales de los que sea parte España y, en particular, los siguientes: </w:t>
      </w:r>
      <w:r>
        <w:rPr>
          <w:rFonts w:eastAsia="Times New Roman" w:cs="Arial"/>
          <w:b/>
          <w:bCs/>
          <w:i/>
          <w:sz w:val="20"/>
          <w:szCs w:val="20"/>
          <w:lang w:eastAsia="es-ES"/>
        </w:rPr>
        <w:t>e)</w:t>
      </w:r>
      <w:r>
        <w:rPr>
          <w:rFonts w:eastAsia="Times New Roman" w:cs="Arial"/>
          <w:b/>
          <w:i/>
          <w:sz w:val="20"/>
          <w:szCs w:val="20"/>
          <w:lang w:eastAsia="es-ES"/>
        </w:rPr>
        <w:t> Los Geoparques, declarados por la UNESCO”.</w:t>
      </w:r>
    </w:p>
    <w:p>
      <w:pPr>
        <w:pStyle w:val="NormalWeb"/>
        <w:shd w:val="clear" w:color="auto" w:fill="FFFFFF"/>
        <w:spacing w:beforeAutospacing="0" w:before="0" w:afterAutospacing="0" w:after="0"/>
        <w:jc w:val="both"/>
        <w:rPr>
          <w:rFonts w:ascii="Calibri" w:hAnsi="Calibri" w:asciiTheme="minorHAnsi" w:hAnsiTheme="minorHAnsi"/>
          <w:b/>
          <w:b/>
          <w:i/>
          <w:i/>
          <w:sz w:val="20"/>
          <w:szCs w:val="20"/>
        </w:rPr>
      </w:pPr>
      <w:r>
        <w:rPr>
          <w:rFonts w:asciiTheme="minorHAnsi" w:hAnsiTheme="minorHAnsi" w:ascii="Calibri" w:hAnsi="Calibri"/>
          <w:b/>
          <w:i/>
          <w:sz w:val="20"/>
          <w:szCs w:val="20"/>
        </w:rPr>
      </w:r>
    </w:p>
    <w:p>
      <w:pPr>
        <w:pStyle w:val="NormalWeb"/>
        <w:shd w:val="clear" w:color="auto" w:fill="FFFFFF"/>
        <w:spacing w:beforeAutospacing="0" w:before="0" w:afterAutospacing="0" w:after="0"/>
        <w:jc w:val="both"/>
        <w:rPr>
          <w:rFonts w:ascii="Calibri" w:hAnsi="Calibri" w:asciiTheme="minorHAnsi" w:hAnsiTheme="minorHAnsi"/>
          <w:b/>
          <w:b/>
          <w:sz w:val="20"/>
          <w:szCs w:val="20"/>
        </w:rPr>
      </w:pPr>
      <w:r>
        <w:rPr>
          <w:rFonts w:ascii="Calibri" w:hAnsi="Calibri" w:asciiTheme="minorHAnsi" w:hAnsiTheme="minorHAnsi"/>
          <w:b/>
          <w:sz w:val="20"/>
          <w:szCs w:val="20"/>
        </w:rPr>
        <w:t xml:space="preserve">12. </w:t>
      </w:r>
      <w:r>
        <w:rPr>
          <w:rFonts w:ascii="Calibri" w:hAnsi="Calibri" w:asciiTheme="minorHAnsi" w:hAnsiTheme="minorHAnsi"/>
          <w:b/>
          <w:sz w:val="20"/>
          <w:szCs w:val="20"/>
          <w:u w:val="single"/>
        </w:rPr>
        <w:t>EL ESTUDIO DE IMPACTO NO CONTENÍA ESTUDIO DE REPERCUSIONES SOBRE LA RED NATURA 2000</w:t>
      </w:r>
    </w:p>
    <w:p>
      <w:pPr>
        <w:pStyle w:val="Normal"/>
        <w:shd w:val="clear" w:color="auto" w:fill="FFFFFF"/>
        <w:spacing w:lineRule="auto" w:line="240" w:before="0" w:after="0"/>
        <w:rPr>
          <w:rFonts w:cs="Arial"/>
          <w:b/>
          <w:b/>
          <w:sz w:val="8"/>
          <w:szCs w:val="8"/>
        </w:rPr>
      </w:pPr>
      <w:r>
        <w:rPr>
          <w:rFonts w:cs="Arial"/>
          <w:b/>
          <w:sz w:val="8"/>
          <w:szCs w:val="8"/>
        </w:rPr>
      </w:r>
    </w:p>
    <w:p>
      <w:pPr>
        <w:pStyle w:val="Normal"/>
        <w:shd w:val="clear" w:color="auto" w:fill="FFFFFF"/>
        <w:spacing w:lineRule="auto" w:line="240" w:before="0" w:after="0"/>
        <w:jc w:val="both"/>
        <w:rPr>
          <w:rFonts w:cs="Arial"/>
          <w:b/>
          <w:b/>
          <w:sz w:val="20"/>
          <w:szCs w:val="20"/>
        </w:rPr>
      </w:pPr>
      <w:r>
        <w:rPr>
          <w:rFonts w:cs="Arial"/>
          <w:b/>
          <w:sz w:val="20"/>
          <w:szCs w:val="20"/>
        </w:rPr>
        <w:t>12.1. El Estudio de impacto ambiental omite, deliberadamente, cualquier impacto sobre la Zona de Especial Protección para las Aves durante la Fase de Construcción, limitándose a hacer un escueto inventario de las aves existentes dentro de dicha ZEPA, para la Fase de Explotación.</w:t>
      </w:r>
    </w:p>
    <w:p>
      <w:pPr>
        <w:pStyle w:val="Normal"/>
        <w:shd w:val="clear" w:color="auto" w:fill="FFFFFF"/>
        <w:spacing w:lineRule="auto" w:line="240" w:before="0" w:after="0"/>
        <w:jc w:val="both"/>
        <w:rPr>
          <w:rFonts w:cs="Arial"/>
          <w:b/>
          <w:b/>
          <w:sz w:val="20"/>
          <w:szCs w:val="20"/>
        </w:rPr>
      </w:pPr>
      <w:r>
        <w:rPr>
          <w:rFonts w:cs="Arial"/>
          <w:b/>
          <w:sz w:val="20"/>
          <w:szCs w:val="20"/>
        </w:rPr>
      </w:r>
    </w:p>
    <w:p>
      <w:pPr>
        <w:pStyle w:val="Normal"/>
        <w:shd w:val="clear" w:color="auto" w:fill="FFFFFF"/>
        <w:spacing w:lineRule="auto" w:line="240" w:before="0" w:after="0"/>
        <w:jc w:val="both"/>
        <w:rPr>
          <w:rFonts w:cs="Arial"/>
          <w:b/>
          <w:b/>
          <w:sz w:val="20"/>
          <w:szCs w:val="20"/>
        </w:rPr>
      </w:pPr>
      <w:r>
        <w:rPr>
          <w:rFonts w:cs="Arial"/>
          <w:b/>
          <w:sz w:val="20"/>
          <w:szCs w:val="20"/>
        </w:rPr>
        <w:t xml:space="preserve">La distancia a la colindante ZEPA “Penyagolosa” es de tan sólo 6 km, tal y como señala el propio Estudio de Impacto Ambiental. </w:t>
      </w:r>
    </w:p>
    <w:p>
      <w:pPr>
        <w:pStyle w:val="Normal"/>
        <w:shd w:val="clear" w:color="auto" w:fill="FFFFFF"/>
        <w:spacing w:lineRule="auto" w:line="240" w:before="0" w:after="0"/>
        <w:jc w:val="both"/>
        <w:rPr>
          <w:rFonts w:cs="Arial"/>
          <w:b/>
          <w:b/>
          <w:sz w:val="20"/>
          <w:szCs w:val="20"/>
        </w:rPr>
      </w:pPr>
      <w:r>
        <w:rPr>
          <w:rFonts w:cs="Arial"/>
          <w:b/>
          <w:sz w:val="20"/>
          <w:szCs w:val="20"/>
        </w:rPr>
      </w:r>
    </w:p>
    <w:p>
      <w:pPr>
        <w:pStyle w:val="Normal"/>
        <w:shd w:val="clear" w:color="auto" w:fill="FFFFFF"/>
        <w:spacing w:lineRule="auto" w:line="240" w:before="0" w:after="0"/>
        <w:jc w:val="both"/>
        <w:rPr>
          <w:rFonts w:cs="Arial"/>
          <w:b/>
          <w:b/>
          <w:sz w:val="20"/>
          <w:szCs w:val="20"/>
        </w:rPr>
      </w:pPr>
      <w:r>
        <w:rPr>
          <w:rFonts w:cs="Arial"/>
          <w:b/>
          <w:sz w:val="20"/>
          <w:szCs w:val="20"/>
        </w:rPr>
        <w:t>12.2. El escueto inventario de Aves realizado para la Fase de Explotación, considera nulo el impacto, con vagas afirmaciones no contrastadas ni explicadas (págs. 348 a 353 de la Memoria del Estudio de Impacto Ambiental) y que sonrojarían a cualquiera que las pueda leer:</w:t>
      </w:r>
    </w:p>
    <w:p>
      <w:pPr>
        <w:pStyle w:val="Normal"/>
        <w:shd w:val="clear" w:color="auto" w:fill="FFFFFF"/>
        <w:spacing w:lineRule="auto" w:line="240" w:before="0" w:after="0"/>
        <w:jc w:val="both"/>
        <w:rPr>
          <w:rFonts w:cs="Arial"/>
          <w:b/>
          <w:b/>
          <w:sz w:val="8"/>
          <w:szCs w:val="8"/>
        </w:rPr>
      </w:pPr>
      <w:r>
        <w:rPr>
          <w:rFonts w:cs="Arial"/>
          <w:b/>
          <w:sz w:val="8"/>
          <w:szCs w:val="8"/>
        </w:rPr>
      </w:r>
    </w:p>
    <w:p>
      <w:pPr>
        <w:pStyle w:val="Normal"/>
        <w:shd w:val="clear" w:color="auto" w:fill="FFFFFF"/>
        <w:spacing w:lineRule="auto" w:line="240" w:before="0" w:after="0"/>
        <w:ind w:left="708" w:hanging="0"/>
        <w:jc w:val="both"/>
        <w:rPr>
          <w:rFonts w:cs="Arial"/>
          <w:b/>
          <w:b/>
          <w:i/>
          <w:i/>
          <w:sz w:val="20"/>
          <w:szCs w:val="20"/>
        </w:rPr>
      </w:pPr>
      <w:r>
        <w:rPr>
          <w:rFonts w:cs="Arial"/>
          <w:b/>
          <w:i/>
          <w:sz w:val="20"/>
          <w:szCs w:val="20"/>
        </w:rPr>
        <w:t>“</w:t>
      </w:r>
      <w:r>
        <w:rPr>
          <w:rFonts w:cs="Arial"/>
          <w:b/>
          <w:i/>
          <w:sz w:val="20"/>
          <w:szCs w:val="20"/>
        </w:rPr>
        <w:t>-Aquila Crysaetos: “es poco probable que las parejas de esta ZEPA sobrevuelen el área de estudio”</w:t>
      </w:r>
    </w:p>
    <w:p>
      <w:pPr>
        <w:pStyle w:val="Normal"/>
        <w:shd w:val="clear" w:color="auto" w:fill="FFFFFF"/>
        <w:spacing w:lineRule="auto" w:line="240" w:before="0" w:after="0"/>
        <w:ind w:left="708" w:hanging="0"/>
        <w:jc w:val="both"/>
        <w:rPr>
          <w:rFonts w:cs="Arial"/>
          <w:b/>
          <w:b/>
          <w:i/>
          <w:i/>
          <w:sz w:val="20"/>
          <w:szCs w:val="20"/>
        </w:rPr>
      </w:pPr>
      <w:r>
        <w:rPr>
          <w:rFonts w:cs="Arial"/>
          <w:b/>
          <w:i/>
          <w:sz w:val="20"/>
          <w:szCs w:val="20"/>
        </w:rPr>
        <w:t>-Aquila fasciata: “pese a que la bibliografía recoge un riesgo, tanto de electrocución como de colisión con los tendidos eléctricos, alto, cabe prever que el riesgo real en la zona de estudio sea muy bajo para la especie”</w:t>
      </w:r>
    </w:p>
    <w:p>
      <w:pPr>
        <w:pStyle w:val="Normal"/>
        <w:shd w:val="clear" w:color="auto" w:fill="FFFFFF"/>
        <w:spacing w:lineRule="auto" w:line="240" w:before="0" w:after="0"/>
        <w:ind w:left="708" w:hanging="0"/>
        <w:jc w:val="both"/>
        <w:rPr>
          <w:rFonts w:cs="Arial"/>
          <w:b/>
          <w:b/>
          <w:i/>
          <w:i/>
          <w:sz w:val="20"/>
          <w:szCs w:val="20"/>
        </w:rPr>
      </w:pPr>
      <w:r>
        <w:rPr>
          <w:rFonts w:cs="Arial"/>
          <w:b/>
          <w:i/>
          <w:sz w:val="20"/>
          <w:szCs w:val="20"/>
        </w:rPr>
        <w:t>-Aquila pennata: “aunque la bibliografía establece como altos los riesgos de electrocución y colisión con los tendidos eléctricos (…) se puede considerar que, en general, el riesgo que va a suponer el proyecto sobre la especie será bajo”</w:t>
      </w:r>
    </w:p>
    <w:p>
      <w:pPr>
        <w:pStyle w:val="Normal"/>
        <w:shd w:val="clear" w:color="auto" w:fill="FFFFFF"/>
        <w:spacing w:lineRule="auto" w:line="240" w:before="0" w:after="0"/>
        <w:ind w:left="708" w:hanging="0"/>
        <w:jc w:val="both"/>
        <w:rPr>
          <w:rFonts w:cs="Arial"/>
          <w:b/>
          <w:b/>
          <w:i/>
          <w:i/>
          <w:sz w:val="20"/>
          <w:szCs w:val="20"/>
        </w:rPr>
      </w:pPr>
      <w:r>
        <w:rPr>
          <w:rFonts w:cs="Arial"/>
          <w:b/>
          <w:i/>
          <w:sz w:val="20"/>
          <w:szCs w:val="20"/>
        </w:rPr>
        <w:t>-Bubo bubo: “mientras que el riesgo potencial de electrocución según la bibliografía consultada es alto  (…)se puede considerar que, en general, el riesgo que va a suponer el proyecto sobre la especie será bajo, manteniéndose un estado de conservación favorable pese a la implementación del proyecto”</w:t>
      </w:r>
    </w:p>
    <w:p>
      <w:pPr>
        <w:pStyle w:val="Normal"/>
        <w:shd w:val="clear" w:color="auto" w:fill="FFFFFF"/>
        <w:spacing w:lineRule="auto" w:line="240" w:before="0" w:after="0"/>
        <w:ind w:left="708" w:hanging="0"/>
        <w:jc w:val="both"/>
        <w:rPr>
          <w:rFonts w:cs="Arial"/>
          <w:b/>
          <w:b/>
          <w:i/>
          <w:i/>
          <w:sz w:val="20"/>
          <w:szCs w:val="20"/>
        </w:rPr>
      </w:pPr>
      <w:r>
        <w:rPr>
          <w:rFonts w:cs="Arial"/>
          <w:b/>
          <w:i/>
          <w:sz w:val="20"/>
          <w:szCs w:val="20"/>
        </w:rPr>
        <w:t>-Circaetus gallicus: “muestra una presencia bastante extendida el área de estudio (…) Los riesgos de colisión y electrocución están considerados como unas de las amenazas más importantes para la especie (…) pero no parece que la zona sea utilizada por las parejas residentes en las ZEPAs, o al menos lo hacen en un número bajo”</w:t>
      </w:r>
    </w:p>
    <w:p>
      <w:pPr>
        <w:pStyle w:val="Normal"/>
        <w:shd w:val="clear" w:color="auto" w:fill="FFFFFF"/>
        <w:spacing w:lineRule="auto" w:line="240" w:before="0" w:after="0"/>
        <w:ind w:left="708" w:hanging="0"/>
        <w:jc w:val="both"/>
        <w:rPr>
          <w:rFonts w:cs="Arial"/>
          <w:b/>
          <w:b/>
          <w:i/>
          <w:i/>
          <w:sz w:val="20"/>
          <w:szCs w:val="20"/>
        </w:rPr>
      </w:pPr>
      <w:r>
        <w:rPr>
          <w:rFonts w:cs="Arial"/>
          <w:b/>
          <w:i/>
          <w:sz w:val="20"/>
          <w:szCs w:val="20"/>
        </w:rPr>
        <w:t>-Gyps fulvus: “Aunque es la especie más afectada en números absolutos por este riesgo  (…) dado el gran número de individuos y las medidas adoptadas en el proyecto, la línea eléctrica de evacuación no va a representar, ni en el peor de los casos, una amenaza para el estado de conservación de la especie”.</w:t>
      </w:r>
    </w:p>
    <w:p>
      <w:pPr>
        <w:pStyle w:val="Normal"/>
        <w:shd w:val="clear" w:color="auto" w:fill="FFFFFF"/>
        <w:spacing w:lineRule="auto" w:line="240" w:before="0" w:after="0"/>
        <w:jc w:val="both"/>
        <w:rPr>
          <w:rFonts w:cs="Arial"/>
          <w:b/>
          <w:b/>
          <w:sz w:val="20"/>
          <w:szCs w:val="20"/>
        </w:rPr>
      </w:pPr>
      <w:r>
        <w:rPr>
          <w:rFonts w:cs="Arial"/>
          <w:b/>
          <w:sz w:val="20"/>
          <w:szCs w:val="20"/>
        </w:rPr>
      </w:r>
    </w:p>
    <w:p>
      <w:pPr>
        <w:pStyle w:val="Normal"/>
        <w:shd w:val="clear" w:color="auto" w:fill="FFFFFF"/>
        <w:spacing w:lineRule="auto" w:line="240" w:before="0" w:after="0"/>
        <w:jc w:val="both"/>
        <w:rPr>
          <w:rFonts w:cs="Arial"/>
          <w:b/>
          <w:b/>
          <w:sz w:val="20"/>
          <w:szCs w:val="20"/>
        </w:rPr>
      </w:pPr>
      <w:r>
        <w:rPr>
          <w:rFonts w:cs="Arial"/>
          <w:b/>
          <w:sz w:val="20"/>
          <w:szCs w:val="20"/>
        </w:rPr>
        <w:t xml:space="preserve">12.3. Hay que recordar que la Jurisprudencia del Tribunal Supremo </w:t>
      </w:r>
      <w:r>
        <w:rPr>
          <w:rFonts w:cs="Arial"/>
          <w:b/>
          <w:sz w:val="20"/>
          <w:szCs w:val="20"/>
          <w:u w:val="single"/>
        </w:rPr>
        <w:t>obliga a tener en cuenta las afecciones en la ZEPA de aquellos proyectos que se instalen en las inmediaciones de la ZEPA</w:t>
      </w:r>
      <w:r>
        <w:rPr>
          <w:rFonts w:cs="Arial"/>
          <w:b/>
          <w:sz w:val="20"/>
          <w:szCs w:val="20"/>
        </w:rPr>
        <w:t xml:space="preserve">, y ponemos como </w:t>
      </w:r>
      <w:r>
        <w:rPr>
          <w:rFonts w:cs="Arial"/>
          <w:b/>
          <w:sz w:val="20"/>
          <w:szCs w:val="20"/>
          <w:u w:val="single"/>
        </w:rPr>
        <w:t>ejemplo</w:t>
      </w:r>
      <w:r>
        <w:rPr>
          <w:rFonts w:cs="Arial"/>
          <w:b/>
          <w:sz w:val="20"/>
          <w:szCs w:val="20"/>
        </w:rPr>
        <w:t xml:space="preserve"> l</w:t>
      </w:r>
      <w:r>
        <w:rPr>
          <w:rFonts w:cs="Arial"/>
          <w:b/>
          <w:bCs/>
          <w:sz w:val="20"/>
          <w:szCs w:val="20"/>
        </w:rPr>
        <w:t xml:space="preserve">a Sentencia del Tribunal Supremo de 5 de abril de 2017 (Sala de lo Contencioso Administrativo, Sección 5ª, Ponente: Rafael Fernández Valverde) </w:t>
      </w:r>
      <w:r>
        <w:rPr>
          <w:rFonts w:cs="Arial"/>
          <w:b/>
          <w:sz w:val="20"/>
          <w:szCs w:val="20"/>
        </w:rPr>
        <w:t xml:space="preserve">ROJ STS 1377/2017- ECLI: ES: TS: 2017:1377 resuelve el Recurso de Casación 1137/2014 interpuesto por la entidad Gas Natural Fenosa Renovables, S. L., y la Comunidad Autónoma de Castilla y León, contra la </w:t>
      </w:r>
      <w:hyperlink r:id="rId9" w:tgtFrame="_blank">
        <w:r>
          <w:rPr>
            <w:rFonts w:cs="Arial"/>
            <w:b/>
            <w:bCs/>
            <w:sz w:val="20"/>
            <w:szCs w:val="20"/>
          </w:rPr>
          <w:t>sentencia dictada por la Sección Primera de la Sala de lo Contencioso Administrativo del Tribunal Superior de Justicia de Castilla y León, en su sede en Valladolid, en fecha 30 de enero de 2014</w:t>
        </w:r>
      </w:hyperlink>
      <w:r>
        <w:rPr>
          <w:rFonts w:cs="Arial"/>
          <w:b/>
          <w:sz w:val="20"/>
          <w:szCs w:val="20"/>
        </w:rPr>
        <w:t xml:space="preserve"> y señala lo siguiente:</w:t>
      </w:r>
    </w:p>
    <w:p>
      <w:pPr>
        <w:pStyle w:val="Normal"/>
        <w:shd w:val="clear" w:color="auto" w:fill="FFFFFF"/>
        <w:spacing w:lineRule="auto" w:line="240" w:before="0" w:after="0"/>
        <w:jc w:val="both"/>
        <w:rPr>
          <w:rFonts w:cs="Arial"/>
          <w:b/>
          <w:b/>
          <w:sz w:val="8"/>
          <w:szCs w:val="8"/>
        </w:rPr>
      </w:pPr>
      <w:r>
        <w:rPr>
          <w:rFonts w:cs="Arial"/>
          <w:b/>
          <w:sz w:val="8"/>
          <w:szCs w:val="8"/>
        </w:rPr>
      </w:r>
    </w:p>
    <w:p>
      <w:pPr>
        <w:pStyle w:val="Normal"/>
        <w:shd w:val="clear" w:color="auto" w:fill="FFFFFF"/>
        <w:spacing w:lineRule="auto" w:line="240" w:before="0" w:after="0"/>
        <w:ind w:left="708" w:hanging="0"/>
        <w:jc w:val="both"/>
        <w:rPr>
          <w:rFonts w:cs="Arial"/>
          <w:b/>
          <w:b/>
          <w:i/>
          <w:i/>
          <w:sz w:val="20"/>
          <w:szCs w:val="20"/>
        </w:rPr>
      </w:pPr>
      <w:r>
        <w:rPr>
          <w:rFonts w:cs="Arial"/>
          <w:b/>
          <w:i/>
          <w:sz w:val="20"/>
          <w:szCs w:val="20"/>
        </w:rPr>
        <w:t>“</w:t>
      </w:r>
      <w:r>
        <w:rPr>
          <w:rFonts w:cs="Arial"/>
          <w:b/>
          <w:i/>
          <w:sz w:val="20"/>
          <w:szCs w:val="20"/>
        </w:rPr>
        <w:t xml:space="preserve">Es cierto que los aerogeneradores no se ubican en los terrenos de la ZEPA pero sí se encuentran en sus proximidades y, en consecuencia, pueden verse afectadas estas especies por la instalación del parque eólico (…) pero </w:t>
      </w:r>
      <w:r>
        <w:rPr>
          <w:rFonts w:cs="Arial"/>
          <w:b/>
          <w:i/>
          <w:sz w:val="20"/>
          <w:szCs w:val="20"/>
          <w:u w:val="single"/>
        </w:rPr>
        <w:t>el dato decisivo, a nuestro juicio, es la función que cumple o puede cumplir el lugar donde se ubica el parque como corredor natural</w:t>
      </w:r>
      <w:r>
        <w:rPr>
          <w:rFonts w:cs="Arial"/>
          <w:b/>
          <w:i/>
          <w:sz w:val="20"/>
          <w:szCs w:val="20"/>
        </w:rPr>
        <w:t>” (…)</w:t>
      </w:r>
    </w:p>
    <w:p>
      <w:pPr>
        <w:pStyle w:val="Normal"/>
        <w:spacing w:lineRule="auto" w:line="240" w:before="0" w:after="0"/>
        <w:ind w:left="708" w:hanging="0"/>
        <w:jc w:val="both"/>
        <w:rPr>
          <w:rFonts w:cs="Arial"/>
          <w:b/>
          <w:b/>
          <w:i/>
          <w:i/>
          <w:sz w:val="20"/>
          <w:szCs w:val="20"/>
        </w:rPr>
      </w:pPr>
      <w:r>
        <w:rPr>
          <w:rFonts w:cs="Arial"/>
          <w:b/>
          <w:i/>
          <w:sz w:val="20"/>
          <w:szCs w:val="20"/>
        </w:rPr>
        <w:t>“</w:t>
      </w:r>
      <w:r>
        <w:rPr>
          <w:rFonts w:cs="Arial"/>
          <w:b/>
          <w:i/>
          <w:sz w:val="20"/>
          <w:szCs w:val="20"/>
        </w:rPr>
        <w:t xml:space="preserve">La sentencia impugnada deduce de la normativa vigente (Real Decreto Legislativo 1302/1986: artículos 1 y 2; Real Decreto 1131/1988: artículos 1, 5 a 12 y anexo I) la </w:t>
      </w:r>
      <w:r>
        <w:rPr>
          <w:rFonts w:cs="Arial"/>
          <w:b/>
          <w:i/>
          <w:sz w:val="20"/>
          <w:szCs w:val="20"/>
          <w:u w:val="single"/>
        </w:rPr>
        <w:t>ineludible necesidad de integrar en la valoración la relación de la zona donde se ubica el parque eólico con su entorno inmediato</w:t>
      </w:r>
      <w:r>
        <w:rPr>
          <w:rFonts w:cs="Arial"/>
          <w:b/>
          <w:i/>
          <w:sz w:val="20"/>
          <w:szCs w:val="20"/>
        </w:rPr>
        <w:t xml:space="preserve">; por lo que no considera adecuada la valoración practicada. Lo hace, además, con apoyo en la jurisprudencia recaída en el ámbito europeo (Sentencia de 29 de enero de 2004, en el asunto C-404/09)   (….) Así, pues, no se trata de valorar la zona en que viene a instalarse el parque eólico en sí misma considerada, ni que en la declaración se haya valorado o dejado de valorar un determinado “dato”. Se trata de </w:t>
      </w:r>
      <w:r>
        <w:rPr>
          <w:rFonts w:cs="Arial"/>
          <w:b/>
          <w:i/>
          <w:sz w:val="20"/>
          <w:szCs w:val="20"/>
          <w:u w:val="single"/>
        </w:rPr>
        <w:t>determinar más ampliamente, al menos en estos casos, si la valoración puede considerarse “adecuada”, prescindiendo del entorno inmediato y de las interconexiones existentes con él</w:t>
      </w:r>
      <w:r>
        <w:rPr>
          <w:rFonts w:cs="Arial"/>
          <w:b/>
          <w:i/>
          <w:sz w:val="20"/>
          <w:szCs w:val="20"/>
        </w:rPr>
        <w:t xml:space="preserve">. Como prosigue afirmando la sentencia: “La existencia del LIC y de la ZEPA obliga, pues, a la Administración, a evaluar el impacto que el parque eólico tiene en la especie que justifica tales declaraciones de LIC y ZEPA, en la medida en que existan datos que permitan fundadamente pensar en una posible o potencial afectación”. Sólo así se cumple el artículo 6 del Real Decreto 1997/1995, que coincide con el mismo precepto de la Directiva 92/43/CEE (Directiva Hábitats), que obliga a someter a una “evaluación adecuada” aquellos planes o proyectos que sin tener relación directa con la gestión del lugar o sin ser necesarios para la misma puedan afectar a los lugares protegidos, esto es, en los términos expresados por la sentencia: </w:t>
      </w:r>
      <w:r>
        <w:rPr>
          <w:rFonts w:cs="Arial"/>
          <w:b/>
          <w:i/>
          <w:sz w:val="20"/>
          <w:szCs w:val="20"/>
          <w:u w:val="single"/>
        </w:rPr>
        <w:t>“Esta evaluación adecuada tiene por objeto analizar si el plan o proyecto afecta de una manera apreciable a los lugares protegidos o a los lugares que, situados fuera de los expresamente protegidos, pueden ser afectados”</w:t>
      </w:r>
    </w:p>
    <w:p>
      <w:pPr>
        <w:pStyle w:val="Normal"/>
        <w:shd w:val="clear" w:color="auto" w:fill="FFFFFF" w:themeFill="background1"/>
        <w:spacing w:lineRule="auto" w:line="240" w:before="0" w:after="0"/>
        <w:jc w:val="both"/>
        <w:rPr>
          <w:b/>
          <w:b/>
          <w:sz w:val="20"/>
          <w:szCs w:val="20"/>
          <w:u w:val="single"/>
        </w:rPr>
      </w:pPr>
      <w:r>
        <w:rPr>
          <w:b/>
          <w:sz w:val="20"/>
          <w:szCs w:val="20"/>
          <w:u w:val="single"/>
        </w:rPr>
      </w:r>
    </w:p>
    <w:p>
      <w:pPr>
        <w:pStyle w:val="Normal"/>
        <w:shd w:val="clear" w:color="auto" w:fill="FFFFFF" w:themeFill="background1"/>
        <w:spacing w:lineRule="auto" w:line="240" w:before="0" w:after="0"/>
        <w:jc w:val="both"/>
        <w:rPr>
          <w:b/>
          <w:b/>
          <w:sz w:val="20"/>
          <w:szCs w:val="20"/>
        </w:rPr>
      </w:pPr>
      <w:r>
        <w:rPr>
          <w:b/>
          <w:sz w:val="20"/>
          <w:szCs w:val="20"/>
        </w:rPr>
        <w:t>12.4. La jurisprudencia europea también obliga a que hubiera existido este estudio sobre las repercusiones sobre la Red Natura 2000.</w:t>
      </w:r>
    </w:p>
    <w:p>
      <w:pPr>
        <w:pStyle w:val="Normal"/>
        <w:shd w:val="clear" w:color="auto" w:fill="FFFFFF" w:themeFill="background1"/>
        <w:spacing w:lineRule="auto" w:line="240" w:before="0" w:after="0"/>
        <w:jc w:val="both"/>
        <w:rPr>
          <w:b/>
          <w:b/>
          <w:sz w:val="20"/>
          <w:szCs w:val="20"/>
        </w:rPr>
      </w:pPr>
      <w:r>
        <w:rPr>
          <w:b/>
          <w:sz w:val="20"/>
          <w:szCs w:val="20"/>
        </w:rPr>
      </w:r>
    </w:p>
    <w:p>
      <w:pPr>
        <w:pStyle w:val="Normal"/>
        <w:spacing w:lineRule="auto" w:line="240" w:before="0" w:after="0"/>
        <w:jc w:val="both"/>
        <w:rPr>
          <w:rFonts w:cs="Arial"/>
          <w:b/>
          <w:b/>
          <w:sz w:val="20"/>
          <w:szCs w:val="20"/>
        </w:rPr>
      </w:pPr>
      <w:r>
        <w:rPr>
          <w:rFonts w:cs="Arial"/>
          <w:b/>
          <w:sz w:val="20"/>
          <w:szCs w:val="20"/>
        </w:rPr>
        <w:t>La sentencia de 7 de septiembre de 2004, Waddenvereniging y Vogelbeschermingsvereniging, C</w:t>
        <w:noBreakHyphen/>
        <w:t>127/02, Rec. p. I</w:t>
        <w:noBreakHyphen/>
        <w:t>7405, apartado 22, señala que:</w:t>
      </w:r>
    </w:p>
    <w:p>
      <w:pPr>
        <w:pStyle w:val="Normal"/>
        <w:spacing w:lineRule="auto" w:line="240" w:before="0" w:after="0"/>
        <w:jc w:val="both"/>
        <w:rPr>
          <w:sz w:val="8"/>
          <w:szCs w:val="8"/>
        </w:rPr>
      </w:pPr>
      <w:r>
        <w:rPr>
          <w:sz w:val="8"/>
          <w:szCs w:val="8"/>
        </w:rPr>
      </w:r>
    </w:p>
    <w:p>
      <w:pPr>
        <w:pStyle w:val="Normal"/>
        <w:spacing w:lineRule="auto" w:line="240" w:before="0" w:after="0"/>
        <w:ind w:left="708" w:hanging="0"/>
        <w:jc w:val="both"/>
        <w:rPr>
          <w:rFonts w:cs="Arial"/>
          <w:b/>
          <w:b/>
          <w:i/>
          <w:i/>
          <w:sz w:val="20"/>
          <w:szCs w:val="20"/>
        </w:rPr>
      </w:pPr>
      <w:r>
        <w:rPr>
          <w:rFonts w:cs="Arial"/>
          <w:b/>
          <w:i/>
          <w:sz w:val="20"/>
          <w:szCs w:val="20"/>
        </w:rPr>
        <w:t>“</w:t>
      </w:r>
      <w:r>
        <w:rPr>
          <w:rFonts w:cs="Arial"/>
          <w:b/>
          <w:i/>
          <w:sz w:val="20"/>
          <w:szCs w:val="20"/>
        </w:rPr>
        <w:t xml:space="preserve">En virtud del artículo 6, apartado 3, primera frase, de la Directiva sobre los hábitats, </w:t>
      </w:r>
      <w:r>
        <w:rPr>
          <w:rStyle w:val="Strong"/>
          <w:rFonts w:cs="Arial"/>
          <w:i/>
          <w:sz w:val="20"/>
          <w:szCs w:val="20"/>
        </w:rPr>
        <w:t xml:space="preserve">no se autorizará un plan o proyecto </w:t>
      </w:r>
      <w:r>
        <w:rPr>
          <w:rFonts w:cs="Arial"/>
          <w:b/>
          <w:i/>
          <w:sz w:val="20"/>
          <w:szCs w:val="20"/>
        </w:rPr>
        <w:t xml:space="preserve">que pueda afectar de forma apreciable al lugar de que se trate, sin que previamente </w:t>
      </w:r>
      <w:r>
        <w:rPr>
          <w:rStyle w:val="Strong"/>
          <w:rFonts w:cs="Arial"/>
          <w:i/>
          <w:sz w:val="20"/>
          <w:szCs w:val="20"/>
        </w:rPr>
        <w:t xml:space="preserve">se evalúen las repercusiones </w:t>
      </w:r>
      <w:r>
        <w:rPr>
          <w:rFonts w:cs="Arial"/>
          <w:b/>
          <w:i/>
          <w:sz w:val="20"/>
          <w:szCs w:val="20"/>
        </w:rPr>
        <w:t xml:space="preserve">que tenga sobre ella” </w:t>
      </w:r>
    </w:p>
    <w:p>
      <w:pPr>
        <w:pStyle w:val="Normal"/>
        <w:spacing w:lineRule="auto" w:line="240" w:before="0" w:after="0"/>
        <w:jc w:val="both"/>
        <w:rPr/>
      </w:pPr>
      <w:r>
        <w:rPr/>
      </w:r>
    </w:p>
    <w:p>
      <w:pPr>
        <w:pStyle w:val="Normal"/>
        <w:spacing w:lineRule="auto" w:line="240" w:before="0" w:after="0"/>
        <w:jc w:val="both"/>
        <w:rPr>
          <w:b/>
          <w:b/>
          <w:sz w:val="20"/>
          <w:szCs w:val="20"/>
        </w:rPr>
      </w:pPr>
      <w:r>
        <w:rPr>
          <w:b/>
          <w:sz w:val="20"/>
          <w:szCs w:val="20"/>
        </w:rPr>
        <w:t>La STJCE de 7 de septiembre de 2004 (as. 127/02, Landelijke Vereniging tot Behoud van de Waddenzee) aclara que el régimen general de la Directiva señalando que:</w:t>
      </w:r>
    </w:p>
    <w:p>
      <w:pPr>
        <w:pStyle w:val="Normal"/>
        <w:spacing w:lineRule="auto" w:line="240" w:before="0" w:after="0"/>
        <w:jc w:val="both"/>
        <w:rPr>
          <w:b/>
          <w:b/>
          <w:sz w:val="8"/>
          <w:szCs w:val="8"/>
        </w:rPr>
      </w:pPr>
      <w:r>
        <w:rPr>
          <w:b/>
          <w:sz w:val="8"/>
          <w:szCs w:val="8"/>
        </w:rPr>
      </w:r>
    </w:p>
    <w:p>
      <w:pPr>
        <w:pStyle w:val="Normal"/>
        <w:spacing w:lineRule="auto" w:line="240" w:before="0" w:after="0"/>
        <w:ind w:left="708" w:hanging="0"/>
        <w:jc w:val="both"/>
        <w:rPr>
          <w:b/>
          <w:b/>
          <w:bCs/>
          <w:i/>
          <w:i/>
          <w:iCs/>
          <w:sz w:val="20"/>
          <w:szCs w:val="20"/>
        </w:rPr>
      </w:pPr>
      <w:r>
        <w:rPr>
          <w:b/>
          <w:sz w:val="20"/>
          <w:szCs w:val="20"/>
        </w:rPr>
        <w:t>“</w:t>
      </w:r>
      <w:r>
        <w:rPr>
          <w:b/>
          <w:sz w:val="20"/>
          <w:szCs w:val="20"/>
        </w:rPr>
        <w:t xml:space="preserve">... </w:t>
      </w:r>
      <w:r>
        <w:rPr>
          <w:b/>
          <w:bCs/>
          <w:i/>
          <w:iCs/>
          <w:sz w:val="20"/>
          <w:szCs w:val="20"/>
        </w:rPr>
        <w:t>la concesión de una autorización de un plan o proyecto, con arreglo al artículo 6, apartado 3, de la Directiva sobre los hábitat, presupone necesariamente que se ha considerado que dicho plan o proyecto no puede perjudicar a la integridad del lugar de que se trate ni, por consiguiente, causar deterioros o alteraciones apreciables en el sentido del apartado 2 de dicho artículo”.</w:t>
      </w:r>
    </w:p>
    <w:p>
      <w:pPr>
        <w:pStyle w:val="Normal"/>
        <w:shd w:val="clear" w:color="auto" w:fill="FFFFFF" w:themeFill="background1"/>
        <w:spacing w:lineRule="auto" w:line="240" w:before="0" w:after="0"/>
        <w:jc w:val="both"/>
        <w:rPr>
          <w:b/>
          <w:b/>
          <w:sz w:val="20"/>
          <w:szCs w:val="20"/>
        </w:rPr>
      </w:pPr>
      <w:r>
        <w:rPr>
          <w:b/>
          <w:sz w:val="20"/>
          <w:szCs w:val="20"/>
        </w:rPr>
      </w:r>
    </w:p>
    <w:p>
      <w:pPr>
        <w:pStyle w:val="Normal"/>
        <w:spacing w:lineRule="auto" w:line="240" w:before="0" w:after="0"/>
        <w:jc w:val="both"/>
        <w:rPr>
          <w:rFonts w:cs="Arial"/>
          <w:b/>
          <w:b/>
          <w:i/>
          <w:i/>
          <w:sz w:val="20"/>
          <w:szCs w:val="20"/>
        </w:rPr>
      </w:pPr>
      <w:r>
        <w:rPr>
          <w:b/>
          <w:sz w:val="20"/>
          <w:szCs w:val="20"/>
        </w:rPr>
        <w:t xml:space="preserve">12.5. </w:t>
      </w:r>
      <w:r>
        <w:rPr>
          <w:rFonts w:cs="Arial"/>
          <w:b/>
          <w:bCs/>
          <w:sz w:val="20"/>
          <w:szCs w:val="20"/>
        </w:rPr>
        <w:t>A nivel estatal, SEO/BirdLife elaboró un documento el 4 de marzo de 2006 titulado</w:t>
      </w:r>
      <w:r>
        <w:rPr>
          <w:rFonts w:cs="Arial"/>
          <w:b/>
          <w:bCs/>
          <w:i/>
          <w:sz w:val="20"/>
          <w:szCs w:val="20"/>
        </w:rPr>
        <w:t xml:space="preserve"> “Documento de Posición sobre Parques Eólicos y Aves”, </w:t>
      </w:r>
      <w:r>
        <w:rPr>
          <w:rFonts w:cs="Arial"/>
          <w:b/>
          <w:bCs/>
          <w:sz w:val="20"/>
          <w:szCs w:val="20"/>
        </w:rPr>
        <w:t xml:space="preserve">donde reconoce la </w:t>
      </w:r>
      <w:r>
        <w:rPr>
          <w:rFonts w:cs="Arial"/>
          <w:b/>
          <w:sz w:val="20"/>
          <w:szCs w:val="20"/>
        </w:rPr>
        <w:t>importante contribución que las energías renovables suponen para combatir los perjuicios medioambientales ocasionados por el cambio climático, aunque añade que</w:t>
      </w:r>
      <w:r>
        <w:rPr>
          <w:rFonts w:cs="Arial"/>
          <w:b/>
          <w:i/>
          <w:sz w:val="20"/>
          <w:szCs w:val="20"/>
        </w:rPr>
        <w:t xml:space="preserve"> “la producción de energía, incluida la procedente de fuentes renovables, no está exenta de ciertas consecuencias potencialmente peligrosas para la conservación de la naturaleza, por lo que existe la necesidad de equilibrar los riesgos y los beneficios y minimizar cualquier efecto medioambiental adverso”.</w:t>
      </w:r>
    </w:p>
    <w:p>
      <w:pPr>
        <w:pStyle w:val="Normal"/>
        <w:shd w:val="clear" w:color="auto" w:fill="FFFFFF" w:themeFill="background1"/>
        <w:spacing w:lineRule="auto" w:line="240" w:before="0" w:after="0"/>
        <w:jc w:val="both"/>
        <w:rPr>
          <w:b/>
          <w:b/>
          <w:sz w:val="20"/>
          <w:szCs w:val="20"/>
          <w:u w:val="single"/>
        </w:rPr>
      </w:pPr>
      <w:r>
        <w:rPr>
          <w:b/>
          <w:sz w:val="20"/>
          <w:szCs w:val="20"/>
          <w:u w:val="single"/>
        </w:rPr>
      </w:r>
    </w:p>
    <w:p>
      <w:pPr>
        <w:pStyle w:val="Normal"/>
        <w:shd w:val="clear" w:color="auto" w:fill="FFFFFF" w:themeFill="background1"/>
        <w:spacing w:lineRule="auto" w:line="240" w:before="0" w:after="0"/>
        <w:jc w:val="both"/>
        <w:rPr>
          <w:b/>
          <w:b/>
          <w:sz w:val="20"/>
          <w:szCs w:val="20"/>
          <w:u w:val="single"/>
        </w:rPr>
      </w:pPr>
      <w:r>
        <w:rPr>
          <w:b/>
          <w:sz w:val="20"/>
          <w:szCs w:val="20"/>
        </w:rPr>
        <w:t>Y dicho informe señala para los</w:t>
      </w:r>
      <w:r>
        <w:rPr>
          <w:b/>
          <w:sz w:val="20"/>
          <w:szCs w:val="20"/>
          <w:u w:val="single"/>
        </w:rPr>
        <w:t xml:space="preserve"> espacios cercanos a la Red Natura 2000:</w:t>
      </w:r>
    </w:p>
    <w:p>
      <w:pPr>
        <w:pStyle w:val="Normal"/>
        <w:shd w:val="clear" w:color="auto" w:fill="FFFFFF" w:themeFill="background1"/>
        <w:spacing w:lineRule="auto" w:line="240" w:before="0" w:after="0"/>
        <w:jc w:val="both"/>
        <w:rPr>
          <w:b/>
          <w:b/>
          <w:sz w:val="8"/>
          <w:szCs w:val="8"/>
          <w:u w:val="single"/>
        </w:rPr>
      </w:pPr>
      <w:r>
        <w:rPr>
          <w:b/>
          <w:sz w:val="8"/>
          <w:szCs w:val="8"/>
          <w:u w:val="single"/>
        </w:rPr>
      </w:r>
    </w:p>
    <w:p>
      <w:pPr>
        <w:pStyle w:val="Normal"/>
        <w:spacing w:lineRule="auto" w:line="240" w:before="0" w:after="0"/>
        <w:ind w:left="708" w:hanging="0"/>
        <w:jc w:val="both"/>
        <w:rPr/>
      </w:pPr>
      <w:r>
        <w:rPr>
          <w:rFonts w:cs="Arial"/>
          <w:b/>
          <w:i/>
          <w:sz w:val="20"/>
          <w:szCs w:val="20"/>
        </w:rPr>
        <w:t>“</w:t>
      </w:r>
      <w:r>
        <w:rPr>
          <w:rFonts w:cs="Arial"/>
          <w:b/>
          <w:i/>
          <w:sz w:val="20"/>
          <w:szCs w:val="20"/>
        </w:rPr>
        <w:t xml:space="preserve">Incluso en el caso de que un parque eólico se proponga fuera de la Red Natura 2000, se debe efectuar una </w:t>
      </w:r>
      <w:r>
        <w:rPr>
          <w:rFonts w:cs="Arial"/>
          <w:b/>
          <w:i/>
          <w:iCs/>
          <w:sz w:val="20"/>
          <w:szCs w:val="20"/>
        </w:rPr>
        <w:t>adecuada evaluación</w:t>
      </w:r>
      <w:r>
        <w:rPr>
          <w:rFonts w:cs="Arial"/>
          <w:b/>
          <w:i/>
          <w:sz w:val="20"/>
          <w:szCs w:val="20"/>
        </w:rPr>
        <w:t>. Si un desarrollo propuesto puede tener un efecto significativo sobre los valores por los que se designó el lugar de la Red Natura 2000, se requiere realizar una evaluación adecuada. Además, si después de realizada la evaluación apropiada no se tiene la certeza de que no existirá impacto adverso, entonces el parque eólico no debe ser construido”.</w:t>
      </w:r>
    </w:p>
    <w:p>
      <w:pPr>
        <w:pStyle w:val="Normal"/>
        <w:shd w:val="clear" w:color="auto" w:fill="FFFFFF" w:themeFill="background1"/>
        <w:spacing w:lineRule="auto" w:line="240" w:before="0" w:after="0"/>
        <w:jc w:val="both"/>
        <w:rPr>
          <w:b/>
          <w:b/>
          <w:sz w:val="20"/>
          <w:szCs w:val="20"/>
          <w:u w:val="single"/>
        </w:rPr>
      </w:pPr>
      <w:r>
        <w:rPr>
          <w:b/>
          <w:sz w:val="20"/>
          <w:szCs w:val="20"/>
          <w:u w:val="single"/>
        </w:rPr>
      </w:r>
    </w:p>
    <w:p>
      <w:pPr>
        <w:pStyle w:val="Normal"/>
        <w:shd w:val="clear" w:color="auto" w:fill="FFFFFF" w:themeFill="background1"/>
        <w:spacing w:lineRule="auto" w:line="240" w:before="0" w:after="0"/>
        <w:jc w:val="both"/>
        <w:rPr>
          <w:b/>
          <w:b/>
          <w:sz w:val="20"/>
          <w:szCs w:val="20"/>
          <w:u w:val="single"/>
        </w:rPr>
      </w:pPr>
      <w:r>
        <w:rPr>
          <w:b/>
          <w:sz w:val="20"/>
          <w:szCs w:val="20"/>
        </w:rPr>
        <w:t xml:space="preserve">13. </w:t>
      </w:r>
      <w:r>
        <w:rPr>
          <w:b/>
          <w:sz w:val="20"/>
          <w:szCs w:val="20"/>
          <w:u w:val="single"/>
        </w:rPr>
        <w:t>EN TODO EL CLÚSTER EXISTE UNA AFECCIÓN IMPORTANTE SOBRE LA RED NATURA 2000 QUE IMPIDE LA APROBACIÓN DE LOS PROYECTOS</w:t>
      </w:r>
    </w:p>
    <w:p>
      <w:pPr>
        <w:pStyle w:val="Normal"/>
        <w:shd w:val="clear" w:color="auto" w:fill="FFFFFF" w:themeFill="background1"/>
        <w:spacing w:lineRule="auto" w:line="240" w:before="0" w:after="0"/>
        <w:jc w:val="both"/>
        <w:rPr>
          <w:b/>
          <w:b/>
          <w:sz w:val="8"/>
          <w:szCs w:val="8"/>
        </w:rPr>
      </w:pPr>
      <w:r>
        <w:rPr>
          <w:b/>
          <w:sz w:val="8"/>
          <w:szCs w:val="8"/>
        </w:rPr>
      </w:r>
    </w:p>
    <w:p>
      <w:pPr>
        <w:pStyle w:val="Normal"/>
        <w:shd w:val="clear" w:color="auto" w:fill="FFFFFF" w:themeFill="background1"/>
        <w:spacing w:lineRule="auto" w:line="240" w:before="0" w:after="0"/>
        <w:jc w:val="both"/>
        <w:rPr>
          <w:b/>
          <w:b/>
          <w:sz w:val="20"/>
          <w:szCs w:val="20"/>
          <w:u w:val="single"/>
        </w:rPr>
      </w:pPr>
      <w:r>
        <w:rPr>
          <w:b/>
          <w:sz w:val="20"/>
          <w:szCs w:val="20"/>
          <w:u w:val="single"/>
        </w:rPr>
      </w:r>
    </w:p>
    <w:p>
      <w:pPr>
        <w:pStyle w:val="Normal"/>
        <w:shd w:val="clear" w:color="auto" w:fill="FFFFFF" w:themeFill="background1"/>
        <w:spacing w:lineRule="auto" w:line="240" w:before="0" w:after="0"/>
        <w:jc w:val="both"/>
        <w:rPr>
          <w:b/>
          <w:b/>
          <w:sz w:val="8"/>
          <w:szCs w:val="8"/>
        </w:rPr>
      </w:pPr>
      <w:r>
        <w:rPr>
          <w:b/>
          <w:sz w:val="8"/>
          <w:szCs w:val="8"/>
        </w:rPr>
      </w:r>
    </w:p>
    <w:p>
      <w:pPr>
        <w:pStyle w:val="Normal"/>
        <w:shd w:val="clear" w:color="auto" w:fill="FFFFFF" w:themeFill="background1"/>
        <w:spacing w:lineRule="auto" w:line="240" w:before="0" w:after="0"/>
        <w:jc w:val="center"/>
        <w:rPr>
          <w:b/>
          <w:b/>
          <w:sz w:val="8"/>
          <w:szCs w:val="8"/>
        </w:rPr>
      </w:pPr>
      <w:r>
        <w:rPr/>
        <w:drawing>
          <wp:inline distT="0" distB="0" distL="0" distR="0">
            <wp:extent cx="3976370" cy="4350385"/>
            <wp:effectExtent l="0" t="0" r="0" b="0"/>
            <wp:docPr id="5"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 descr=""/>
                    <pic:cNvPicPr>
                      <a:picLocks noChangeAspect="1" noChangeArrowheads="1"/>
                    </pic:cNvPicPr>
                  </pic:nvPicPr>
                  <pic:blipFill>
                    <a:blip r:embed="rId10"/>
                    <a:stretch>
                      <a:fillRect/>
                    </a:stretch>
                  </pic:blipFill>
                  <pic:spPr bwMode="auto">
                    <a:xfrm>
                      <a:off x="0" y="0"/>
                      <a:ext cx="3976370" cy="4350385"/>
                    </a:xfrm>
                    <a:prstGeom prst="rect">
                      <a:avLst/>
                    </a:prstGeom>
                  </pic:spPr>
                </pic:pic>
              </a:graphicData>
            </a:graphic>
          </wp:inline>
        </w:drawing>
      </w:r>
    </w:p>
    <w:p>
      <w:pPr>
        <w:pStyle w:val="Normal"/>
        <w:shd w:val="clear" w:color="auto" w:fill="FFFFFF" w:themeFill="background1"/>
        <w:spacing w:lineRule="auto" w:line="240" w:before="0" w:after="0"/>
        <w:jc w:val="center"/>
        <w:rPr>
          <w:b/>
          <w:b/>
          <w:sz w:val="8"/>
          <w:szCs w:val="8"/>
        </w:rPr>
      </w:pPr>
      <w:r>
        <w:rPr>
          <w:b/>
          <w:sz w:val="8"/>
          <w:szCs w:val="8"/>
        </w:rPr>
      </w:r>
    </w:p>
    <w:p>
      <w:pPr>
        <w:pStyle w:val="Normal"/>
        <w:shd w:val="clear" w:color="auto" w:fill="FFFFFF" w:themeFill="background1"/>
        <w:spacing w:lineRule="auto" w:line="240" w:before="0" w:after="0"/>
        <w:jc w:val="both"/>
        <w:rPr>
          <w:b/>
          <w:b/>
          <w:sz w:val="20"/>
          <w:szCs w:val="20"/>
        </w:rPr>
      </w:pPr>
      <w:r>
        <w:rPr>
          <w:b/>
          <w:sz w:val="20"/>
          <w:szCs w:val="20"/>
        </w:rPr>
        <w:t>13.1  Como vemos, tras la declaración de impacto ambiental favorable, 84 aerogeneradores se sitúan en el interior de zonas LIC y 10 km de una ZEPA son atravesados por una línea de alta tensión y otros 2 km de una ZEPA son atravesados por una de las pistas de acceso.</w:t>
      </w:r>
    </w:p>
    <w:p>
      <w:pPr>
        <w:pStyle w:val="Normal"/>
        <w:shd w:val="clear" w:color="auto" w:fill="FFFFFF" w:themeFill="background1"/>
        <w:spacing w:lineRule="auto" w:line="240" w:before="0" w:after="0"/>
        <w:jc w:val="both"/>
        <w:rPr>
          <w:b/>
          <w:b/>
          <w:sz w:val="20"/>
          <w:szCs w:val="20"/>
        </w:rPr>
      </w:pPr>
      <w:r>
        <w:rPr>
          <w:b/>
          <w:sz w:val="20"/>
          <w:szCs w:val="20"/>
        </w:rPr>
      </w:r>
    </w:p>
    <w:p>
      <w:pPr>
        <w:pStyle w:val="Normal"/>
        <w:spacing w:lineRule="auto" w:line="240" w:before="0" w:after="0"/>
        <w:jc w:val="both"/>
        <w:rPr>
          <w:rFonts w:cs="DejaVuSans"/>
          <w:b/>
          <w:b/>
          <w:sz w:val="20"/>
          <w:szCs w:val="20"/>
        </w:rPr>
      </w:pPr>
      <w:r>
        <w:rPr>
          <w:rFonts w:cs="DejaVuSans"/>
          <w:b/>
          <w:sz w:val="20"/>
          <w:szCs w:val="20"/>
        </w:rPr>
        <w:t>El Tribunal de Justicia de la UE deja claro que un plan o proyecto debe ser aprobado sólo si las autoridades están convencidas de que no afectará adversamente la integridad del lugar (Natura 2000). Cuando existan dudas sobre ausencia de efectos adversos en la integridad del lugar asociado al plan o proyecto de interés, la autoridad competente tendrá que denegar la autorización. Por tanto, de conformidad con el artículo 6, apartado 3, las autoridades nacionales competentes, teniendo en cuenta las conclusiones de la evaluación apropiada del proyecto, a la luz de los objetivos de conservación del sitio, deben autorizar dicha actividad sólo si tienen certeza de que no afectará negativamente a la integridad de ese sitio.</w:t>
      </w:r>
    </w:p>
    <w:p>
      <w:pPr>
        <w:pStyle w:val="Normal"/>
        <w:shd w:val="clear" w:color="auto" w:fill="FFFFFF" w:themeFill="background1"/>
        <w:spacing w:lineRule="auto" w:line="240" w:before="0" w:after="0"/>
        <w:jc w:val="both"/>
        <w:rPr>
          <w:b/>
          <w:b/>
          <w:sz w:val="20"/>
          <w:szCs w:val="20"/>
        </w:rPr>
      </w:pPr>
      <w:r>
        <w:rPr>
          <w:b/>
          <w:sz w:val="20"/>
          <w:szCs w:val="20"/>
        </w:rPr>
      </w:r>
    </w:p>
    <w:p>
      <w:pPr>
        <w:pStyle w:val="Normal"/>
        <w:spacing w:lineRule="auto" w:line="240" w:before="0" w:after="0"/>
        <w:jc w:val="both"/>
        <w:rPr>
          <w:rFonts w:cs="DejaVuSans"/>
          <w:b/>
          <w:b/>
          <w:sz w:val="20"/>
          <w:szCs w:val="20"/>
        </w:rPr>
      </w:pPr>
      <w:r>
        <w:rPr>
          <w:b/>
          <w:sz w:val="20"/>
          <w:szCs w:val="20"/>
        </w:rPr>
        <w:t xml:space="preserve">13.2. </w:t>
      </w:r>
      <w:r>
        <w:rPr>
          <w:rFonts w:cs="DejaVuSans"/>
          <w:b/>
          <w:sz w:val="20"/>
          <w:szCs w:val="20"/>
        </w:rPr>
        <w:t>El espacio donde se quieren ubicar los proyecto de parques eólicos y plantas fotovoltaicas del “Clúster Maestrazgo”, está integrado en la Red Natura 20000 y, además, forma parte de un corredor biológico de gran importancia entre los espacios de la Red Natura 2000 (ZEPA y LIC) existentes que debería estar excluido  de este tipo de infraestructuras y, en cualquier caso, el proyecto solamente podrá autorizarse en el caso de que haya quedado establecido que no existe ningún efecto adverso para la integridad de los diversos Espacios Protegidos Red Natura 2000 que abarca. La implantación de los parques eólicos del “Clúster Maestrazgo” causará efectos acumulativos en dicho corredor que afectarán principalmente a las poblaciones de aves; los estudios realizados no son suficientes, el análisis técnico no ha ahondado los suficiente  y no se puede aportar certeza alguna sobre la no afección a la integridad de los espacios protegidos RN2000.</w:t>
      </w:r>
    </w:p>
    <w:p>
      <w:pPr>
        <w:pStyle w:val="Normal"/>
        <w:spacing w:lineRule="auto" w:line="240" w:before="0" w:after="0"/>
        <w:jc w:val="both"/>
        <w:rPr>
          <w:rFonts w:cs="DejaVuSans"/>
          <w:b/>
          <w:b/>
          <w:sz w:val="20"/>
          <w:szCs w:val="20"/>
        </w:rPr>
      </w:pPr>
      <w:r>
        <w:rPr>
          <w:rFonts w:cs="DejaVuSans"/>
          <w:b/>
          <w:sz w:val="20"/>
          <w:szCs w:val="20"/>
        </w:rPr>
      </w:r>
    </w:p>
    <w:p>
      <w:pPr>
        <w:pStyle w:val="Normal"/>
        <w:spacing w:lineRule="auto" w:line="240" w:before="0" w:after="0"/>
        <w:jc w:val="both"/>
        <w:rPr>
          <w:rFonts w:cs="DejaVuSans"/>
          <w:b/>
          <w:b/>
          <w:sz w:val="20"/>
          <w:szCs w:val="20"/>
        </w:rPr>
      </w:pPr>
      <w:r>
        <w:rPr>
          <w:rFonts w:cs="DejaVuSans"/>
          <w:b/>
          <w:sz w:val="20"/>
          <w:szCs w:val="20"/>
        </w:rPr>
        <w:t xml:space="preserve">En el caso de infraestructuras que puedan afectar a espacios de la Red Natura 2000, toda Evaluación de impacto ambiental y por lo tanto también cualquier Declaración de impacto ambiental deberían seguir por defecto la conocida como “sentencia Wadden” (STJUE de 7 de septiembre de 2004 C-127/02 Mar de Wadden). Es decir, se debe demostrar que el proyecto no tiene ningún efecto sobre los valores de la Red Natura 2000, esté el proyecto dentro o fuera de la misma, y por </w:t>
      </w:r>
      <w:r>
        <w:rPr>
          <w:rFonts w:cs="DejaVuSans"/>
          <w:b/>
          <w:sz w:val="20"/>
          <w:szCs w:val="20"/>
          <w:u w:val="single"/>
        </w:rPr>
        <w:t>lo tanto la Declaración de impacto ambiental  debe ser negativa siempre que la Evaluación de impacto ambiental no haya demostrado suficientemente que no existe ningún efecto negativo</w:t>
      </w:r>
      <w:r>
        <w:rPr>
          <w:rFonts w:cs="DejaVuSans"/>
          <w:b/>
          <w:sz w:val="20"/>
          <w:szCs w:val="20"/>
        </w:rPr>
        <w:t>.</w:t>
      </w:r>
    </w:p>
    <w:p>
      <w:pPr>
        <w:pStyle w:val="Normal"/>
        <w:shd w:val="clear" w:color="auto" w:fill="FFFFFF" w:themeFill="background1"/>
        <w:spacing w:lineRule="auto" w:line="240" w:before="0" w:after="0"/>
        <w:jc w:val="both"/>
        <w:rPr>
          <w:b/>
          <w:b/>
          <w:sz w:val="20"/>
          <w:szCs w:val="20"/>
        </w:rPr>
      </w:pPr>
      <w:r>
        <w:rPr>
          <w:b/>
          <w:sz w:val="20"/>
          <w:szCs w:val="20"/>
        </w:rPr>
      </w:r>
    </w:p>
    <w:p>
      <w:pPr>
        <w:pStyle w:val="Normal"/>
        <w:spacing w:lineRule="auto" w:line="240" w:before="0" w:after="0"/>
        <w:jc w:val="both"/>
        <w:rPr>
          <w:rFonts w:cs="Arial"/>
          <w:b/>
          <w:b/>
          <w:sz w:val="20"/>
          <w:szCs w:val="20"/>
        </w:rPr>
      </w:pPr>
      <w:r>
        <w:rPr>
          <w:b/>
          <w:sz w:val="20"/>
          <w:szCs w:val="20"/>
        </w:rPr>
        <w:t>13.3.</w:t>
      </w:r>
      <w:r>
        <w:rPr>
          <w:b/>
          <w:sz w:val="24"/>
          <w:szCs w:val="24"/>
        </w:rPr>
        <w:t xml:space="preserve"> </w:t>
      </w:r>
      <w:r>
        <w:rPr>
          <w:rFonts w:cs="Arial"/>
          <w:b/>
          <w:sz w:val="20"/>
          <w:szCs w:val="20"/>
        </w:rPr>
        <w:t>En su Informe de 9 de abril de 2021, la Dirección General de Medio Natural y Gestión Ambiental del Gobierno de Aragón alertó al Ministerio para la Transición Ecológica y el Reto Demográfico (MITECO) de que los proyectos integrados en el Clúster Maestrazgo afectaban a los objetivos de conservación de la ZEPA:</w:t>
      </w:r>
    </w:p>
    <w:p>
      <w:pPr>
        <w:pStyle w:val="Normal"/>
        <w:spacing w:lineRule="auto" w:line="240" w:before="0" w:after="0"/>
        <w:jc w:val="both"/>
        <w:rPr>
          <w:b/>
          <w:b/>
          <w:sz w:val="8"/>
          <w:szCs w:val="8"/>
        </w:rPr>
      </w:pPr>
      <w:r>
        <w:rPr>
          <w:b/>
          <w:sz w:val="8"/>
          <w:szCs w:val="8"/>
        </w:rPr>
      </w:r>
    </w:p>
    <w:p>
      <w:pPr>
        <w:pStyle w:val="Normal"/>
        <w:spacing w:lineRule="auto" w:line="240" w:before="0" w:after="0"/>
        <w:ind w:left="708" w:hanging="0"/>
        <w:jc w:val="both"/>
        <w:rPr>
          <w:rFonts w:eastAsia="Times New Roman"/>
          <w:b/>
          <w:b/>
          <w:i/>
          <w:i/>
          <w:sz w:val="20"/>
          <w:szCs w:val="20"/>
        </w:rPr>
      </w:pPr>
      <w:r>
        <w:rPr>
          <w:rFonts w:eastAsia="Times New Roman"/>
          <w:b/>
          <w:i/>
          <w:sz w:val="20"/>
          <w:szCs w:val="20"/>
        </w:rPr>
        <w:t>“</w:t>
      </w:r>
      <w:r>
        <w:rPr>
          <w:rFonts w:eastAsia="Times New Roman"/>
          <w:b/>
          <w:i/>
          <w:sz w:val="20"/>
          <w:szCs w:val="20"/>
        </w:rPr>
        <w:t xml:space="preserve">Además de la </w:t>
      </w:r>
      <w:r>
        <w:rPr>
          <w:rFonts w:eastAsia="Times New Roman"/>
          <w:b/>
          <w:i/>
          <w:sz w:val="20"/>
          <w:szCs w:val="20"/>
          <w:u w:val="single"/>
        </w:rPr>
        <w:t xml:space="preserve">afección indirecta más que probable </w:t>
      </w:r>
      <w:r>
        <w:rPr>
          <w:rFonts w:eastAsia="Times New Roman"/>
          <w:b/>
          <w:i/>
          <w:sz w:val="20"/>
          <w:szCs w:val="20"/>
        </w:rPr>
        <w:t>a los objetivos de conservación de la ZEPA Río Guadalope-Maestrazgo, ya mencionada, la actuación afectará directamente a los objetivos de conservación de los ZEC Muelas y Estrechos del río Guadalope, Rambla de las Truchas y Maestrazgo y Sierra de Gúdar. Tanto las obras como las instalaciones finales afectarán a hábitats de interés comunitario objeto de protección de las figuras referidas, viéndose también afectadas especies objeto de conservación de los distintos espacios. El EsIA argumenta porcentajes de afección bajos sobre los hábitats de interés comunitario en relación a superficies totales como las de cada parque o el propio Clúster. Sin embargo, la magnitud del proyecto ligada a la inevitable generación de efectos sinérgicos y acumulativos para muchos elementos de conservación, así como de pérdida de conectividad entre los distintos espacios, hace necesario un análisis más profundo de los efectos de la afección sobre los espacios de la R.N. 2000”.</w:t>
      </w:r>
    </w:p>
    <w:p>
      <w:pPr>
        <w:pStyle w:val="Normal"/>
        <w:spacing w:lineRule="auto" w:line="240" w:before="0" w:after="0"/>
        <w:ind w:left="708" w:hanging="0"/>
        <w:jc w:val="both"/>
        <w:rPr>
          <w:rFonts w:eastAsia="Times New Roman"/>
          <w:b/>
          <w:b/>
          <w:i/>
          <w:i/>
          <w:sz w:val="8"/>
          <w:szCs w:val="8"/>
        </w:rPr>
      </w:pPr>
      <w:r>
        <w:rPr>
          <w:rFonts w:eastAsia="Times New Roman"/>
          <w:b/>
          <w:i/>
          <w:sz w:val="8"/>
          <w:szCs w:val="8"/>
        </w:rPr>
      </w:r>
    </w:p>
    <w:p>
      <w:pPr>
        <w:pStyle w:val="NormalWeb"/>
        <w:shd w:val="clear" w:color="auto" w:fill="FFFFFF"/>
        <w:spacing w:beforeAutospacing="0" w:before="0" w:afterAutospacing="0" w:after="0"/>
        <w:ind w:left="708" w:hanging="0"/>
        <w:jc w:val="both"/>
        <w:rPr>
          <w:rFonts w:ascii="Calibri" w:hAnsi="Calibri" w:asciiTheme="minorHAnsi" w:hAnsiTheme="minorHAnsi"/>
          <w:b/>
          <w:b/>
          <w:i/>
          <w:i/>
          <w:sz w:val="20"/>
          <w:szCs w:val="20"/>
        </w:rPr>
      </w:pPr>
      <w:r>
        <w:rPr>
          <w:rFonts w:ascii="Calibri" w:hAnsi="Calibri" w:asciiTheme="minorHAnsi" w:hAnsiTheme="minorHAnsi"/>
          <w:b/>
          <w:i/>
          <w:sz w:val="20"/>
          <w:szCs w:val="20"/>
        </w:rPr>
        <w:t>-De forma indirecta se pueden ver afectados, los objetivos de conservación del Plan de Ordenación de los Recursos Naturales (PORN) Sierra de Gúdar (Decreto 233/1999)”.</w:t>
      </w:r>
    </w:p>
    <w:p>
      <w:pPr>
        <w:pStyle w:val="NormalWeb"/>
        <w:shd w:val="clear" w:color="auto" w:fill="FFFFFF"/>
        <w:spacing w:beforeAutospacing="0" w:before="0" w:afterAutospacing="0" w:after="0"/>
        <w:ind w:left="708" w:hanging="0"/>
        <w:jc w:val="both"/>
        <w:rPr>
          <w:rFonts w:ascii="Calibri" w:hAnsi="Calibri" w:asciiTheme="minorHAnsi" w:hAnsiTheme="minorHAnsi"/>
          <w:b/>
          <w:b/>
          <w:i/>
          <w:i/>
          <w:sz w:val="8"/>
          <w:szCs w:val="8"/>
        </w:rPr>
      </w:pPr>
      <w:r>
        <w:rPr>
          <w:rFonts w:asciiTheme="minorHAnsi" w:hAnsiTheme="minorHAnsi" w:ascii="Calibri" w:hAnsi="Calibri"/>
          <w:b/>
          <w:i/>
          <w:sz w:val="8"/>
          <w:szCs w:val="8"/>
        </w:rPr>
      </w:r>
    </w:p>
    <w:p>
      <w:pPr>
        <w:pStyle w:val="Normal"/>
        <w:spacing w:lineRule="auto" w:line="240" w:before="0" w:after="0"/>
        <w:rPr/>
      </w:pPr>
      <w:hyperlink r:id="rId11">
        <w:r>
          <w:rPr>
            <w:rStyle w:val="EnlacedeInternet"/>
            <w:b/>
            <w:color w:val="auto"/>
            <w:sz w:val="20"/>
            <w:szCs w:val="20"/>
          </w:rPr>
          <w:t>https://drive.google.com/file/d/1Yd7w2she0zhmDKHRV-qRgv9WmuiG7s35/view</w:t>
        </w:r>
      </w:hyperlink>
    </w:p>
    <w:p>
      <w:pPr>
        <w:pStyle w:val="Normal"/>
        <w:spacing w:lineRule="auto" w:line="240" w:before="0" w:after="0"/>
        <w:rPr>
          <w:b/>
          <w:b/>
          <w:sz w:val="20"/>
          <w:szCs w:val="20"/>
        </w:rPr>
      </w:pPr>
      <w:r>
        <w:rPr>
          <w:b/>
          <w:sz w:val="20"/>
          <w:szCs w:val="20"/>
        </w:rPr>
      </w:r>
    </w:p>
    <w:p>
      <w:pPr>
        <w:pStyle w:val="Normal"/>
        <w:spacing w:lineRule="auto" w:line="240" w:before="0" w:after="0"/>
        <w:jc w:val="both"/>
        <w:rPr>
          <w:b/>
          <w:b/>
          <w:sz w:val="20"/>
          <w:szCs w:val="20"/>
        </w:rPr>
      </w:pPr>
      <w:r>
        <w:rPr>
          <w:b/>
          <w:sz w:val="20"/>
          <w:szCs w:val="20"/>
        </w:rPr>
        <w:t>13.4. Dice el Estudio de Avifauna del EsIA:</w:t>
      </w:r>
    </w:p>
    <w:p>
      <w:pPr>
        <w:pStyle w:val="Normal"/>
        <w:spacing w:lineRule="auto" w:line="240" w:before="0" w:after="0"/>
        <w:jc w:val="both"/>
        <w:rPr>
          <w:b/>
          <w:b/>
          <w:sz w:val="8"/>
          <w:szCs w:val="8"/>
        </w:rPr>
      </w:pPr>
      <w:r>
        <w:rPr>
          <w:b/>
          <w:sz w:val="8"/>
          <w:szCs w:val="8"/>
        </w:rPr>
      </w:r>
    </w:p>
    <w:p>
      <w:pPr>
        <w:pStyle w:val="Normal"/>
        <w:spacing w:lineRule="auto" w:line="240" w:before="0" w:after="0"/>
        <w:ind w:left="708" w:hanging="0"/>
        <w:jc w:val="both"/>
        <w:rPr>
          <w:b/>
          <w:b/>
          <w:i/>
          <w:i/>
          <w:sz w:val="20"/>
          <w:szCs w:val="20"/>
        </w:rPr>
      </w:pPr>
      <w:r>
        <w:rPr>
          <w:b/>
          <w:i/>
          <w:sz w:val="20"/>
          <w:szCs w:val="20"/>
        </w:rPr>
        <w:t>“</w:t>
      </w:r>
      <w:r>
        <w:rPr>
          <w:b/>
          <w:i/>
          <w:sz w:val="20"/>
          <w:szCs w:val="20"/>
        </w:rPr>
        <w:t>Por otro lado, si existen espacios protegidos incluidos en la Red Natura 2000 próximos al emplazamiento de los parques eólicos, y que hayan sido declarados por la presencia de determinadas especies de aves, se debe considerar la probabilidad de afección a su avifauna. Algunas especies de gran movilidad, como las grandes rapaces, pueden utilizar frecuentemente áreas exteriores a la zona protegida y en consecuencia es necesario incluir el espacio protegido dentro del área de estudio”.</w:t>
      </w:r>
    </w:p>
    <w:p>
      <w:pPr>
        <w:pStyle w:val="Normal"/>
        <w:shd w:val="clear" w:color="auto" w:fill="FFFFFF" w:themeFill="background1"/>
        <w:spacing w:lineRule="auto" w:line="240" w:before="0" w:after="0"/>
        <w:jc w:val="both"/>
        <w:rPr>
          <w:b/>
          <w:b/>
          <w:sz w:val="20"/>
          <w:szCs w:val="20"/>
        </w:rPr>
      </w:pPr>
      <w:r>
        <w:rPr>
          <w:b/>
          <w:sz w:val="20"/>
          <w:szCs w:val="20"/>
        </w:rPr>
      </w:r>
    </w:p>
    <w:p>
      <w:pPr>
        <w:pStyle w:val="Normal"/>
        <w:spacing w:lineRule="auto" w:line="240" w:before="0" w:after="0"/>
        <w:jc w:val="both"/>
        <w:rPr>
          <w:b/>
          <w:b/>
          <w:sz w:val="20"/>
          <w:szCs w:val="20"/>
        </w:rPr>
      </w:pPr>
      <w:r>
        <w:rPr>
          <w:b/>
          <w:sz w:val="20"/>
          <w:szCs w:val="20"/>
        </w:rPr>
        <w:t>13.5. En relación con la Ley 42/2007, de 13 de diciembre, del Patrimonio Natural y de la Biodiversidad, hay varios artículos que han de tenerse en cuenta. Por un lado, el artículo 46 de la dispone que el órgano ambiental sólo debe manifestar su conformidad con los proyectos que, a la vista de las conclusiones de la evaluación de las repercusiones sobre la Red Natura 2000, no causen perjuicio sobre la integridad de los espacios protegidos afectados. De igual modo, el artículo 46.3. especifica que se deberá evitar el deterioro, la contaminación y la fragmentación de los hábitats y las perturbaciones que afecten a las especies fuera de la Red Natura 2000, en la medida que estos fenómenos tengan un efecto significativo sobre el estado de conservación de dichos hábitats y especies.</w:t>
      </w:r>
    </w:p>
    <w:p>
      <w:pPr>
        <w:pStyle w:val="Normal"/>
        <w:shd w:val="clear" w:color="auto" w:fill="FFFFFF" w:themeFill="background1"/>
        <w:spacing w:lineRule="auto" w:line="240" w:before="0" w:after="0"/>
        <w:jc w:val="both"/>
        <w:rPr>
          <w:b/>
          <w:b/>
          <w:sz w:val="20"/>
          <w:szCs w:val="20"/>
        </w:rPr>
      </w:pPr>
      <w:r>
        <w:rPr>
          <w:b/>
          <w:sz w:val="20"/>
          <w:szCs w:val="20"/>
        </w:rPr>
      </w:r>
    </w:p>
    <w:p>
      <w:pPr>
        <w:pStyle w:val="Default"/>
        <w:jc w:val="both"/>
        <w:rPr>
          <w:rFonts w:ascii="Calibri" w:hAnsi="Calibri" w:asciiTheme="minorHAnsi" w:hAnsiTheme="minorHAnsi"/>
          <w:b/>
          <w:b/>
          <w:color w:val="auto"/>
          <w:sz w:val="20"/>
          <w:szCs w:val="20"/>
        </w:rPr>
      </w:pPr>
      <w:r>
        <w:rPr>
          <w:rFonts w:ascii="Calibri" w:hAnsi="Calibri" w:asciiTheme="minorHAnsi" w:hAnsiTheme="minorHAnsi"/>
          <w:b/>
          <w:color w:val="auto"/>
          <w:sz w:val="20"/>
          <w:szCs w:val="20"/>
        </w:rPr>
        <w:t xml:space="preserve">13.6. La Directiva de Hábitats también obliga a una evaluación de alternativas que difiere del análisis de alternativas convencional que se lleva a cabo para cumplir con la Directiva de Evaluación de Impacto Ambiental (Dir.85/337/CEE). Respecto de las soluciones alternativas hay que señalar que la evaluación de alternativas de planes o proyectos que puedan afectar a espacios de la Red Natura 2000 se tienen que hacer de forma adecuada, lo que a juicio de la Comisión Europea quiere decir que: a) La evaluación de alternativas tiene que tener como único objetivo conseguir que el impacto sobre la Red Natura 2000 sea cero o el menor posible. b) Los únicos criterios a considerar son ambientales y en concreto el impacto que se pueda producir sobre los objetivos de conservación del o los espacios que se puedan ver afectados (esto incluye a todas las especies y hábitats por las que se declaró el espacio, es decir todas las presentes de una forma "significativa" de los anexos I y II de la Directiva de Hábitats y de Aves). c) Debe tenerse en cuenta la alternativa cero. </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Normal"/>
        <w:spacing w:lineRule="auto" w:line="240" w:before="0" w:after="0"/>
        <w:jc w:val="both"/>
        <w:rPr>
          <w:rFonts w:eastAsia="Calibri" w:cs="Arial"/>
          <w:b/>
          <w:b/>
          <w:sz w:val="20"/>
          <w:szCs w:val="20"/>
        </w:rPr>
      </w:pPr>
      <w:r>
        <w:rPr>
          <w:rFonts w:eastAsia="Calibri" w:cs="Arial"/>
          <w:b/>
          <w:sz w:val="20"/>
          <w:szCs w:val="20"/>
        </w:rPr>
        <w:t xml:space="preserve">13.7. El “Informe de la Comisión sobre la aplicación de la Directiva 92/43/CEE relativa a la protección de los hábitats naturales y de la fauna y flora silvestres” señala lo siguiente: </w:t>
      </w:r>
    </w:p>
    <w:p>
      <w:pPr>
        <w:pStyle w:val="Normal"/>
        <w:spacing w:lineRule="auto" w:line="240" w:before="0" w:after="0"/>
        <w:jc w:val="both"/>
        <w:rPr>
          <w:rFonts w:eastAsia="Calibri" w:cs="Arial"/>
          <w:b/>
          <w:b/>
          <w:sz w:val="8"/>
          <w:szCs w:val="8"/>
        </w:rPr>
      </w:pPr>
      <w:r>
        <w:rPr>
          <w:rFonts w:eastAsia="Calibri" w:cs="Arial"/>
          <w:b/>
          <w:sz w:val="8"/>
          <w:szCs w:val="8"/>
        </w:rPr>
      </w:r>
    </w:p>
    <w:p>
      <w:pPr>
        <w:pStyle w:val="Normal"/>
        <w:spacing w:lineRule="auto" w:line="240" w:before="0" w:after="0"/>
        <w:ind w:left="708" w:hanging="0"/>
        <w:jc w:val="both"/>
        <w:rPr>
          <w:rFonts w:eastAsia="Calibri" w:cs="Arial"/>
          <w:b/>
          <w:b/>
          <w:i/>
          <w:i/>
          <w:sz w:val="20"/>
          <w:szCs w:val="20"/>
        </w:rPr>
      </w:pPr>
      <w:r>
        <w:rPr>
          <w:rFonts w:eastAsia="Calibri" w:cs="Arial"/>
          <w:b/>
          <w:i/>
          <w:sz w:val="20"/>
          <w:szCs w:val="20"/>
        </w:rPr>
        <w:t>“</w:t>
      </w:r>
      <w:r>
        <w:rPr>
          <w:rFonts w:eastAsia="Calibri" w:cs="Arial"/>
          <w:b/>
          <w:i/>
          <w:sz w:val="20"/>
          <w:szCs w:val="20"/>
        </w:rPr>
        <w:t xml:space="preserve">Cuando un espacio entra a formar parte de la lista de ‘lugares de importancia comunitaria’ (LIC) de la Comisión, </w:t>
      </w:r>
      <w:r>
        <w:rPr>
          <w:rFonts w:eastAsia="Calibri" w:cs="Arial"/>
          <w:b/>
          <w:i/>
          <w:sz w:val="20"/>
          <w:szCs w:val="20"/>
          <w:u w:val="single"/>
        </w:rPr>
        <w:t>los Estados miembros tienen que tomar las medidas adecuadas para evitar en él el deterioro de los hábitats naturales y de los hábitats de especies</w:t>
      </w:r>
      <w:r>
        <w:rPr>
          <w:rFonts w:eastAsia="Calibri" w:cs="Arial"/>
          <w:b/>
          <w:i/>
          <w:sz w:val="20"/>
          <w:szCs w:val="20"/>
        </w:rPr>
        <w:t xml:space="preserve">, así como las alteraciones que repercutan en las especies que hayan motivado la selección del espacio (apartado 2 del artículo 6). Cualquier plan o proyecto que pueda afectar de forma apreciable a esa zona debe someterse a una evaluación de impacto adecuada (apartado 3 del artículo 6). Si los resultados de la evaluación son negativos y no existen soluciones alternativas, pero la necesidad del proyecto o del plan se justifica por </w:t>
      </w:r>
      <w:r>
        <w:rPr>
          <w:rFonts w:eastAsia="Calibri" w:cs="Arial"/>
          <w:b/>
          <w:i/>
          <w:sz w:val="20"/>
          <w:szCs w:val="20"/>
          <w:u w:val="single"/>
        </w:rPr>
        <w:t>‘razones imperiosas de interés público de primer orden’</w:t>
      </w:r>
      <w:r>
        <w:rPr>
          <w:rFonts w:eastAsia="Calibri" w:cs="Arial"/>
          <w:b/>
          <w:i/>
          <w:sz w:val="20"/>
          <w:szCs w:val="20"/>
        </w:rPr>
        <w:t xml:space="preserve">, los Estados miembros deben tomar todas las medidas compensatorias que sean necesarias </w:t>
      </w:r>
      <w:r>
        <w:rPr>
          <w:rFonts w:eastAsia="Calibri" w:cs="Arial"/>
          <w:b/>
          <w:i/>
          <w:sz w:val="20"/>
          <w:szCs w:val="20"/>
          <w:u w:val="single"/>
        </w:rPr>
        <w:t xml:space="preserve">para garantizar que la coherencia global de Natura 2000 quede protegida </w:t>
      </w:r>
      <w:r>
        <w:rPr>
          <w:rFonts w:eastAsia="Calibri" w:cs="Arial"/>
          <w:b/>
          <w:i/>
          <w:sz w:val="20"/>
          <w:szCs w:val="20"/>
        </w:rPr>
        <w:t>(apartado 4 del artículo 6). En caso de que el lugar albergue un tipo de hábitat o una especie prioritarios, únicamente se podrán alegar consideraciones relacionadas con la salud humana y la seguridad pública, o relativas a consecuencias positivas para el medio ambiente, o, previa consulta a la Comisión, otras razones imperiosas de interés público de primer orden”.</w:t>
      </w:r>
    </w:p>
    <w:p>
      <w:pPr>
        <w:pStyle w:val="Normal"/>
        <w:spacing w:lineRule="auto" w:line="240" w:before="0" w:after="0"/>
        <w:jc w:val="both"/>
        <w:rPr>
          <w:rFonts w:eastAsia="Calibri" w:cs="Arial"/>
          <w:b/>
          <w:b/>
          <w:i/>
          <w:i/>
          <w:sz w:val="20"/>
          <w:szCs w:val="20"/>
        </w:rPr>
      </w:pPr>
      <w:r>
        <w:rPr>
          <w:rFonts w:eastAsia="Calibri" w:cs="Arial"/>
          <w:b/>
          <w:i/>
          <w:sz w:val="20"/>
          <w:szCs w:val="20"/>
        </w:rPr>
      </w:r>
    </w:p>
    <w:p>
      <w:pPr>
        <w:pStyle w:val="Normal"/>
        <w:spacing w:lineRule="auto" w:line="240" w:before="0" w:after="0"/>
        <w:jc w:val="both"/>
        <w:rPr>
          <w:rFonts w:cs="Arial"/>
          <w:b/>
          <w:b/>
          <w:sz w:val="20"/>
          <w:szCs w:val="20"/>
        </w:rPr>
      </w:pPr>
      <w:r>
        <w:rPr>
          <w:rFonts w:cs="Arial"/>
          <w:b/>
          <w:sz w:val="20"/>
          <w:szCs w:val="20"/>
        </w:rPr>
        <w:t xml:space="preserve">13.8. El Tribunal de Justicia de la Unión Europea, en el Asunto C-244/05,  ha añadido que los Estados miembros: </w:t>
      </w:r>
    </w:p>
    <w:p>
      <w:pPr>
        <w:pStyle w:val="Normal"/>
        <w:spacing w:lineRule="auto" w:line="240" w:before="0" w:after="0"/>
        <w:jc w:val="both"/>
        <w:rPr>
          <w:rFonts w:cs="Arial"/>
          <w:b/>
          <w:b/>
          <w:sz w:val="8"/>
          <w:szCs w:val="8"/>
        </w:rPr>
      </w:pPr>
      <w:r>
        <w:rPr>
          <w:rFonts w:cs="Arial"/>
          <w:b/>
          <w:sz w:val="8"/>
          <w:szCs w:val="8"/>
        </w:rPr>
      </w:r>
    </w:p>
    <w:p>
      <w:pPr>
        <w:pStyle w:val="Normal"/>
        <w:spacing w:lineRule="auto" w:line="240" w:before="0" w:after="0"/>
        <w:ind w:left="708" w:hanging="0"/>
        <w:jc w:val="both"/>
        <w:rPr>
          <w:rFonts w:cs="Arial"/>
          <w:b/>
          <w:b/>
          <w:i/>
          <w:i/>
          <w:sz w:val="20"/>
          <w:szCs w:val="20"/>
        </w:rPr>
      </w:pPr>
      <w:r>
        <w:rPr>
          <w:rFonts w:cs="Arial"/>
          <w:b/>
          <w:i/>
          <w:sz w:val="20"/>
          <w:szCs w:val="20"/>
        </w:rPr>
        <w:t>“</w:t>
      </w:r>
      <w:r>
        <w:rPr>
          <w:rFonts w:cs="Arial"/>
          <w:b/>
          <w:i/>
          <w:sz w:val="20"/>
          <w:szCs w:val="20"/>
        </w:rPr>
        <w:t xml:space="preserve">no pueden autorizar intervenciones que puedan alterar significativamente las características ecológicas de un lugar. Así ocurre, en particular, cuando una intervención conlleva el </w:t>
      </w:r>
      <w:r>
        <w:rPr>
          <w:rFonts w:cs="Arial"/>
          <w:b/>
          <w:i/>
          <w:sz w:val="20"/>
          <w:szCs w:val="20"/>
          <w:u w:val="single"/>
        </w:rPr>
        <w:t>riesgo de reducir de forma significativa la superficie del lugar, o de provocar la desaparición de especies</w:t>
      </w:r>
      <w:r>
        <w:rPr>
          <w:rFonts w:cs="Arial"/>
          <w:b/>
          <w:i/>
          <w:sz w:val="20"/>
          <w:szCs w:val="20"/>
        </w:rPr>
        <w:t xml:space="preserve"> prioritarias existentes en él o, por último, de tener como resultado la destrucción del lugar </w:t>
      </w:r>
      <w:r>
        <w:rPr>
          <w:rFonts w:cs="Arial"/>
          <w:b/>
          <w:i/>
          <w:sz w:val="20"/>
          <w:szCs w:val="20"/>
          <w:u w:val="single"/>
        </w:rPr>
        <w:t>o la eliminación de sus características representativas”</w:t>
      </w:r>
      <w:r>
        <w:rPr>
          <w:rFonts w:cs="Arial"/>
          <w:b/>
          <w:i/>
          <w:sz w:val="20"/>
          <w:szCs w:val="20"/>
        </w:rPr>
        <w:t>.</w:t>
      </w:r>
    </w:p>
    <w:p>
      <w:pPr>
        <w:pStyle w:val="Normal"/>
        <w:spacing w:lineRule="auto" w:line="240" w:before="0" w:after="0"/>
        <w:jc w:val="both"/>
        <w:rPr>
          <w:rFonts w:eastAsia="Calibri" w:cs="Arial"/>
          <w:b/>
          <w:b/>
          <w:i/>
          <w:i/>
          <w:sz w:val="20"/>
          <w:szCs w:val="20"/>
        </w:rPr>
      </w:pPr>
      <w:r>
        <w:rPr>
          <w:rFonts w:eastAsia="Calibri" w:cs="Arial"/>
          <w:b/>
          <w:i/>
          <w:sz w:val="20"/>
          <w:szCs w:val="20"/>
        </w:rPr>
      </w:r>
    </w:p>
    <w:p>
      <w:pPr>
        <w:pStyle w:val="Normal"/>
        <w:spacing w:lineRule="auto" w:line="240" w:before="0" w:after="0"/>
        <w:jc w:val="both"/>
        <w:rPr>
          <w:rFonts w:eastAsia="Times New Roman" w:cs="Arial"/>
          <w:b/>
          <w:b/>
          <w:sz w:val="20"/>
          <w:szCs w:val="20"/>
          <w:lang w:eastAsia="es-ES"/>
        </w:rPr>
      </w:pPr>
      <w:r>
        <w:rPr>
          <w:rFonts w:cs="Arial"/>
          <w:b/>
          <w:sz w:val="20"/>
          <w:szCs w:val="20"/>
        </w:rPr>
        <w:t xml:space="preserve">13.9.La Sentencia del Tribunal Constitucional de 13 de noviembre de 2019 por la cuestión de inconstitucionalidad núm. 2560-2019, planteada por la Sección Primera de la Sala de lo Contencioso-administrativo del Tribunal Superior de Justicia de Extremadura, en sus  </w:t>
      </w:r>
      <w:r>
        <w:rPr>
          <w:rFonts w:eastAsia="Times New Roman" w:cs="Arial"/>
          <w:b/>
          <w:sz w:val="20"/>
          <w:szCs w:val="20"/>
          <w:lang w:eastAsia="es-ES"/>
        </w:rPr>
        <w:t>Fundamentos jurídicos señala:</w:t>
      </w:r>
    </w:p>
    <w:p>
      <w:pPr>
        <w:pStyle w:val="Normal"/>
        <w:spacing w:lineRule="auto" w:line="240" w:before="0" w:after="0"/>
        <w:jc w:val="both"/>
        <w:rPr>
          <w:rFonts w:cs="Arial"/>
          <w:b/>
          <w:b/>
          <w:sz w:val="8"/>
          <w:szCs w:val="8"/>
        </w:rPr>
      </w:pPr>
      <w:r>
        <w:rPr>
          <w:rFonts w:cs="Arial"/>
          <w:b/>
          <w:sz w:val="8"/>
          <w:szCs w:val="8"/>
        </w:rPr>
      </w:r>
    </w:p>
    <w:p>
      <w:pPr>
        <w:pStyle w:val="Normal"/>
        <w:spacing w:lineRule="auto" w:line="240" w:before="0" w:after="0"/>
        <w:ind w:left="708" w:hanging="0"/>
        <w:jc w:val="both"/>
        <w:rPr>
          <w:rFonts w:cs="Arial"/>
          <w:b/>
          <w:b/>
          <w:i/>
          <w:i/>
          <w:sz w:val="20"/>
          <w:szCs w:val="20"/>
        </w:rPr>
      </w:pPr>
      <w:r>
        <w:rPr>
          <w:rFonts w:cs="Arial"/>
          <w:b/>
          <w:i/>
          <w:sz w:val="20"/>
          <w:szCs w:val="20"/>
        </w:rPr>
        <w:t>“</w:t>
      </w:r>
      <w:r>
        <w:rPr>
          <w:rFonts w:cs="Arial"/>
          <w:b/>
          <w:i/>
          <w:sz w:val="20"/>
          <w:szCs w:val="20"/>
        </w:rPr>
        <w:t xml:space="preserve">De los preceptos básicos de contraste que se han expuesto se deducen claramente unas reglas mínimas que pueden sintetizarse así en lo siguiente: i) se debe preservar el suelo ambientalmente protegido de su transformación mediante la urbanización; ii) se definen unas inclusiones en concepto de mínimos; iii) </w:t>
      </w:r>
      <w:r>
        <w:rPr>
          <w:rFonts w:cs="Arial"/>
          <w:b/>
          <w:i/>
          <w:sz w:val="20"/>
          <w:szCs w:val="20"/>
          <w:u w:val="single"/>
        </w:rPr>
        <w:t>la utilización de los terrenos con valores ambientales protegidos por la ley queda supeditada imperativamente a preservar esos valores</w:t>
      </w:r>
      <w:r>
        <w:rPr>
          <w:rFonts w:cs="Arial"/>
          <w:b/>
          <w:i/>
          <w:sz w:val="20"/>
          <w:szCs w:val="20"/>
        </w:rPr>
        <w:t xml:space="preserve">; y iv) </w:t>
      </w:r>
      <w:r>
        <w:rPr>
          <w:rFonts w:cs="Arial"/>
          <w:b/>
          <w:i/>
          <w:sz w:val="20"/>
          <w:szCs w:val="20"/>
          <w:u w:val="single"/>
        </w:rPr>
        <w:t>solo son admisibles las alteraciones del estado natural de los terrenos protegidos si están expresamente autorizados por la legislación de protección aplicable.</w:t>
      </w:r>
      <w:r>
        <w:rPr>
          <w:rFonts w:cs="Arial"/>
          <w:b/>
          <w:i/>
          <w:sz w:val="20"/>
          <w:szCs w:val="20"/>
        </w:rPr>
        <w:t xml:space="preserve"> En suma, la regla general es la preservación, salvo las autorizaciones expresamente previstas en la legislación de protección −europea, básica estatal y autonómica de desarrollo− </w:t>
      </w:r>
      <w:r>
        <w:rPr>
          <w:rFonts w:cs="Arial"/>
          <w:b/>
          <w:i/>
          <w:sz w:val="20"/>
          <w:szCs w:val="20"/>
          <w:u w:val="single"/>
        </w:rPr>
        <w:t>sin que la legislación de desarrollo autonómica</w:t>
      </w:r>
      <w:r>
        <w:rPr>
          <w:rFonts w:cs="Arial"/>
          <w:b/>
          <w:i/>
          <w:sz w:val="20"/>
          <w:szCs w:val="20"/>
        </w:rPr>
        <w:t xml:space="preserve">, ya sea en materia de protección de la naturaleza o dictada con fundamento en otro título competencial </w:t>
      </w:r>
      <w:r>
        <w:rPr>
          <w:rFonts w:cs="Arial"/>
          <w:b/>
          <w:i/>
          <w:sz w:val="20"/>
          <w:szCs w:val="20"/>
          <w:u w:val="single"/>
        </w:rPr>
        <w:t>pueda autorizar alteraciones del estado natural allí donde la europea y la básica estatal no lo contemplen</w:t>
      </w:r>
      <w:r>
        <w:rPr>
          <w:rFonts w:cs="Arial"/>
          <w:b/>
          <w:i/>
          <w:sz w:val="20"/>
          <w:szCs w:val="20"/>
        </w:rPr>
        <w:t xml:space="preserve">. La norma autonómica cuestionada, al prever la transformación urbanística allí donde meramente lo permita la evaluación ambiental, es incompatible con las mencionadas reglas básicas. </w:t>
      </w:r>
      <w:r>
        <w:rPr>
          <w:rFonts w:cs="Arial"/>
          <w:b/>
          <w:i/>
          <w:sz w:val="20"/>
          <w:szCs w:val="20"/>
          <w:u w:val="single"/>
        </w:rPr>
        <w:t>La urbanización implica siempre una grave alteración–la ocupación de los terrenos por construcciones e instalaciones supone una reducción de facto de la superficie protegida–que, en el caso de los terrenos de la Red Natura 2000,</w:t>
      </w:r>
      <w:r>
        <w:rPr>
          <w:rFonts w:cs="Arial"/>
          <w:b/>
          <w:i/>
          <w:sz w:val="20"/>
          <w:szCs w:val="20"/>
        </w:rPr>
        <w:t xml:space="preserve"> por la especial protección que la propia comunidad autónoma les ha reconocido, con fundamento en la normativa europea y estatal, </w:t>
      </w:r>
      <w:r>
        <w:rPr>
          <w:rFonts w:cs="Arial"/>
          <w:b/>
          <w:i/>
          <w:sz w:val="20"/>
          <w:szCs w:val="20"/>
          <w:u w:val="single"/>
        </w:rPr>
        <w:t>debe quedar condicionada a un supuesto muy concreto (evolución natural, científicamente demostrada)</w:t>
      </w:r>
      <w:r>
        <w:rPr>
          <w:rFonts w:cs="Arial"/>
          <w:b/>
          <w:i/>
          <w:sz w:val="20"/>
          <w:szCs w:val="20"/>
        </w:rPr>
        <w:t xml:space="preserve"> y un procedimiento exigente (trámite de información pública, remisión de la propuesta a la Comisión Europea y aceptación por ésta)”. </w:t>
      </w:r>
    </w:p>
    <w:p>
      <w:pPr>
        <w:pStyle w:val="Normal"/>
        <w:spacing w:lineRule="auto" w:line="240" w:before="0" w:after="0"/>
        <w:jc w:val="both"/>
        <w:rPr>
          <w:rFonts w:cs="Arial"/>
          <w:b/>
          <w:b/>
          <w:sz w:val="20"/>
          <w:szCs w:val="20"/>
        </w:rPr>
      </w:pPr>
      <w:r>
        <w:rPr>
          <w:rFonts w:cs="Arial"/>
          <w:b/>
          <w:sz w:val="20"/>
          <w:szCs w:val="20"/>
        </w:rPr>
      </w:r>
    </w:p>
    <w:p>
      <w:pPr>
        <w:pStyle w:val="Normal"/>
        <w:spacing w:lineRule="auto" w:line="240" w:before="0" w:after="0"/>
        <w:jc w:val="both"/>
        <w:rPr>
          <w:rFonts w:cs="Arial"/>
          <w:b/>
          <w:b/>
          <w:sz w:val="20"/>
          <w:szCs w:val="20"/>
        </w:rPr>
      </w:pPr>
      <w:r>
        <w:rPr>
          <w:rFonts w:cs="Arial"/>
          <w:b/>
          <w:sz w:val="20"/>
          <w:szCs w:val="20"/>
        </w:rPr>
        <w:t>13.10. La ley, y así lo avala el Tribunal Supremo, exige que la evaluación de impacto debe  tener por objeto analizar si el plan o proyecto afecta de una manera apreciable a los lugares protegidos. La Sentencia del Tribunal Supremo de 13 de julio de 2015 dice lo siguiente:</w:t>
      </w:r>
    </w:p>
    <w:p>
      <w:pPr>
        <w:pStyle w:val="Normal"/>
        <w:spacing w:lineRule="auto" w:line="240" w:before="0" w:after="0"/>
        <w:jc w:val="both"/>
        <w:rPr>
          <w:rFonts w:cs="Arial"/>
          <w:b/>
          <w:b/>
          <w:sz w:val="8"/>
          <w:szCs w:val="8"/>
        </w:rPr>
      </w:pPr>
      <w:r>
        <w:rPr>
          <w:rFonts w:cs="Arial"/>
          <w:b/>
          <w:sz w:val="8"/>
          <w:szCs w:val="8"/>
        </w:rPr>
      </w:r>
    </w:p>
    <w:p>
      <w:pPr>
        <w:pStyle w:val="Normal"/>
        <w:spacing w:lineRule="auto" w:line="240" w:before="0" w:after="0"/>
        <w:ind w:left="708" w:hanging="0"/>
        <w:jc w:val="both"/>
        <w:rPr>
          <w:rFonts w:cs="Arial"/>
          <w:b/>
          <w:b/>
          <w:i/>
          <w:i/>
          <w:sz w:val="20"/>
          <w:szCs w:val="20"/>
        </w:rPr>
      </w:pPr>
      <w:r>
        <w:rPr>
          <w:rFonts w:cs="Arial"/>
          <w:b/>
          <w:i/>
          <w:sz w:val="20"/>
          <w:szCs w:val="20"/>
        </w:rPr>
        <w:t>“</w:t>
      </w:r>
      <w:r>
        <w:rPr>
          <w:rFonts w:cs="Arial"/>
          <w:b/>
          <w:i/>
          <w:sz w:val="20"/>
          <w:szCs w:val="20"/>
        </w:rPr>
        <w:t xml:space="preserve">Así, pues, no se trata de valorar la zona en que viene a instalarse el parque eólico en sí misma considerada, ni que en la declaración se haya valorado o dejado de valorar un determinado "dato", como en algún momento afirman los recursos. </w:t>
      </w:r>
      <w:r>
        <w:rPr>
          <w:rFonts w:cs="Arial"/>
          <w:b/>
          <w:i/>
          <w:sz w:val="20"/>
          <w:szCs w:val="20"/>
          <w:u w:val="single"/>
        </w:rPr>
        <w:t>Se trata de determinar más ampliamente, al menos en estos casos, si la valoración puede considerarse "adecuada",</w:t>
      </w:r>
      <w:r>
        <w:rPr>
          <w:rFonts w:cs="Arial"/>
          <w:b/>
          <w:i/>
          <w:sz w:val="20"/>
          <w:szCs w:val="20"/>
        </w:rPr>
        <w:t xml:space="preserve"> prescindiendo del entorno inmediato y de las interconexiones existentes con él. La existencia del LIC y de la ZEPA obliga, pues a la Administración a evaluar el impacto que el parque eólico tiene en la especie que justifica tales declaraciones de LIC y ZEPA en la medida en que existan datos que permitan fundadamente pensar en una posible o potencial afectación. Solo así se cumple el artículo 6 del Real Decreto 1997/1995 , que coincide con el mismo precepto de la Directiva 92/43/CEE (Directiva Hábitats), que obliga a someter a una "evaluación adecuada" aquellos planes o proyectos que sin tener relación directa con la gestión del lugar o sin ser necesarios para la misma puedan afectar a los lugares protegidos, esto es, en los términos expresados por la sentencia: "</w:t>
      </w:r>
      <w:r>
        <w:rPr>
          <w:rFonts w:cs="Arial"/>
          <w:b/>
          <w:i/>
          <w:sz w:val="20"/>
          <w:szCs w:val="20"/>
          <w:u w:val="single"/>
        </w:rPr>
        <w:t>Esta evaluación adecuada tiene por objeto analizar si el plan o proyecto afecta de una manera apreciable a los lugares protegidos o que los lugares que, situados fuera de los expresamente protegidos, pueden ser afectados</w:t>
      </w:r>
      <w:r>
        <w:rPr>
          <w:rFonts w:cs="Arial"/>
          <w:b/>
          <w:i/>
          <w:sz w:val="20"/>
          <w:szCs w:val="20"/>
        </w:rPr>
        <w:t>". El resultado de la valoración, pues, podrá ser positivo o, llegado el caso, hasta negativo; pero lo que no cabe es prescindir de la indicada valoración”</w:t>
      </w:r>
    </w:p>
    <w:p>
      <w:pPr>
        <w:pStyle w:val="Normal"/>
        <w:spacing w:lineRule="auto" w:line="240" w:before="0" w:after="0"/>
        <w:jc w:val="both"/>
        <w:rPr>
          <w:rFonts w:cs="Arial"/>
          <w:b/>
          <w:b/>
          <w:sz w:val="20"/>
          <w:szCs w:val="20"/>
        </w:rPr>
      </w:pPr>
      <w:r>
        <w:rPr>
          <w:rFonts w:cs="Arial"/>
          <w:b/>
          <w:sz w:val="20"/>
          <w:szCs w:val="20"/>
        </w:rPr>
      </w:r>
    </w:p>
    <w:p>
      <w:pPr>
        <w:pStyle w:val="Normal"/>
        <w:spacing w:lineRule="auto" w:line="240" w:before="0" w:after="0"/>
        <w:jc w:val="both"/>
        <w:rPr>
          <w:rFonts w:cs="Arial"/>
          <w:b/>
          <w:b/>
          <w:sz w:val="20"/>
          <w:szCs w:val="20"/>
        </w:rPr>
      </w:pPr>
      <w:r>
        <w:rPr>
          <w:rFonts w:cs="Arial"/>
          <w:b/>
          <w:sz w:val="20"/>
          <w:szCs w:val="20"/>
        </w:rPr>
        <w:t xml:space="preserve">13.11. Por otra parte, la evaluación ambiental debe analizar no sólo el impacto, sino “la posibilidad” de impacto. El Fundamento de Derecho 2º de la Sentencia de casación de la Sala de lo Contencioso, sección 5ª Tribunal supremo, de 5 de mayo de 2017 (STS 1377/2017) señala lo siguiente: </w:t>
      </w:r>
    </w:p>
    <w:p>
      <w:pPr>
        <w:pStyle w:val="Normal"/>
        <w:spacing w:lineRule="auto" w:line="240" w:before="0" w:after="0"/>
        <w:jc w:val="both"/>
        <w:rPr>
          <w:rFonts w:cs="Arial"/>
          <w:b/>
          <w:b/>
          <w:sz w:val="8"/>
          <w:szCs w:val="8"/>
        </w:rPr>
      </w:pPr>
      <w:r>
        <w:rPr>
          <w:rFonts w:cs="Arial"/>
          <w:b/>
          <w:sz w:val="8"/>
          <w:szCs w:val="8"/>
        </w:rPr>
      </w:r>
    </w:p>
    <w:p>
      <w:pPr>
        <w:pStyle w:val="Normal"/>
        <w:spacing w:lineRule="auto" w:line="240" w:before="0" w:after="0"/>
        <w:ind w:left="708" w:hanging="0"/>
        <w:jc w:val="both"/>
        <w:rPr>
          <w:rFonts w:cs="Arial"/>
          <w:b/>
          <w:b/>
          <w:i/>
          <w:i/>
          <w:sz w:val="20"/>
          <w:szCs w:val="20"/>
        </w:rPr>
      </w:pPr>
      <w:r>
        <w:rPr>
          <w:rFonts w:cs="Arial"/>
          <w:b/>
          <w:i/>
          <w:sz w:val="20"/>
          <w:szCs w:val="20"/>
        </w:rPr>
        <w:t>“</w:t>
      </w:r>
      <w:r>
        <w:rPr>
          <w:rFonts w:cs="Arial"/>
          <w:b/>
          <w:i/>
          <w:sz w:val="20"/>
          <w:szCs w:val="20"/>
        </w:rPr>
        <w:t>Como ya se señalaba precisamente en la sentencia dictada por esta Sala en fecha 30 de septiembre de 2013,en el PO 1630/2009 , puede traerse a colación la Sentencia del Tribunal de Justicia de las Comunidades Europeas de fecha 29 de enero de 2004 (asunto C-404/09 ), citada por la parte actora en su demanda que señala las consecuencias de las explotaciones para las especies deben examinarse no solo en términos de destrucción de zonas critica de las mismas, sino que también debe tenerse en cuenta la fragmentación, deterioro y destrucción de hábitats potencialmente aptos para la recuperación de la especie, así como el incremento de las perturbaciones producidas sobre las especies. Como es sabido, no es necesario que quede acreditada la afectación del proyecto a una especie animal, bastando la potencialidad de ello y esta potencialidad, a nuestro juicio, sí resulta acreditada por las pruebas aquí valoradas y, por ese motivo, como ya se dijo, lo relevante no es si ha habido o no avistamientos del urogallo, sino si hay posibilidad real de que el urogallo, como especie protegida, se vea afectado por Parque Eólico. Esta posible afectación del parque a la población del urogallo ha pasado inadvertida para la Declaración de Impacto Ambiental y por ello las medidas que impone son absolutamente genéricas, por lo que no puede reputarse correcta esa declaración”.</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Normal"/>
        <w:shd w:val="clear" w:color="auto" w:fill="FFFFFF" w:themeFill="background1"/>
        <w:spacing w:lineRule="auto" w:line="240" w:before="0" w:after="0"/>
        <w:jc w:val="both"/>
        <w:rPr>
          <w:b/>
          <w:b/>
          <w:sz w:val="16"/>
          <w:szCs w:val="16"/>
        </w:rPr>
      </w:pPr>
      <w:r>
        <w:rPr>
          <w:b/>
          <w:sz w:val="20"/>
          <w:szCs w:val="20"/>
        </w:rPr>
        <w:t>13.12.</w:t>
      </w:r>
      <w:r>
        <w:rPr>
          <w:b/>
          <w:sz w:val="16"/>
          <w:szCs w:val="16"/>
        </w:rPr>
        <w:t xml:space="preserve"> </w:t>
      </w:r>
      <w:r>
        <w:rPr>
          <w:b/>
          <w:sz w:val="20"/>
          <w:szCs w:val="20"/>
          <w:u w:val="single"/>
        </w:rPr>
        <w:t>El propio MITECO considera criterio ambiental excluyente las posiciones dentro de la Red Natura 2000 y en sus inmediaciones</w:t>
      </w:r>
    </w:p>
    <w:p>
      <w:pPr>
        <w:pStyle w:val="Normal"/>
        <w:shd w:val="clear" w:color="auto" w:fill="FFFFFF" w:themeFill="background1"/>
        <w:spacing w:lineRule="auto" w:line="240" w:before="0" w:after="0"/>
        <w:jc w:val="both"/>
        <w:rPr>
          <w:b/>
          <w:b/>
          <w:sz w:val="8"/>
          <w:szCs w:val="8"/>
        </w:rPr>
      </w:pPr>
      <w:r>
        <w:rPr>
          <w:b/>
          <w:sz w:val="8"/>
          <w:szCs w:val="8"/>
        </w:rPr>
      </w:r>
    </w:p>
    <w:p>
      <w:pPr>
        <w:pStyle w:val="Normal"/>
        <w:spacing w:lineRule="auto" w:line="240" w:before="0" w:after="0"/>
        <w:jc w:val="both"/>
        <w:rPr>
          <w:rFonts w:eastAsia="Times New Roman" w:cs="Arial"/>
          <w:b/>
          <w:b/>
          <w:sz w:val="20"/>
          <w:szCs w:val="20"/>
          <w:lang w:eastAsia="es-ES"/>
        </w:rPr>
      </w:pPr>
      <w:r>
        <w:rPr>
          <w:rStyle w:val="Markedcontent"/>
          <w:rFonts w:cs="Arial"/>
          <w:b/>
          <w:sz w:val="20"/>
          <w:szCs w:val="20"/>
        </w:rPr>
        <w:t>El Subgrupo de Coordinación de Órganos Ambientales en la Evaluación de Impacto Ambiental de Proyectos de Energías Renovables del Ministerio para la Transición Ecológica y el Reto Demográfico elaboró en 2020 un Documento titulado “Alcance de Estudio de Impacto Ambiental de Proyecto de Parque Eólico Terrestre” y en dicho documento se establece que s</w:t>
      </w:r>
      <w:r>
        <w:rPr>
          <w:rFonts w:eastAsia="Times New Roman" w:cs="Arial"/>
          <w:b/>
          <w:sz w:val="20"/>
          <w:szCs w:val="20"/>
          <w:lang w:eastAsia="es-ES"/>
        </w:rPr>
        <w:t>e procurará evitar alternativas:</w:t>
      </w:r>
    </w:p>
    <w:p>
      <w:pPr>
        <w:pStyle w:val="Normal"/>
        <w:spacing w:lineRule="auto" w:line="240" w:before="0" w:after="0"/>
        <w:jc w:val="both"/>
        <w:rPr>
          <w:rFonts w:eastAsia="Times New Roman" w:cs="Arial"/>
          <w:b/>
          <w:b/>
          <w:sz w:val="8"/>
          <w:szCs w:val="8"/>
          <w:lang w:eastAsia="es-ES"/>
        </w:rPr>
      </w:pPr>
      <w:r>
        <w:rPr>
          <w:rFonts w:eastAsia="Times New Roman" w:cs="Arial"/>
          <w:b/>
          <w:sz w:val="8"/>
          <w:szCs w:val="8"/>
          <w:lang w:eastAsia="es-ES"/>
        </w:rPr>
      </w:r>
    </w:p>
    <w:p>
      <w:pPr>
        <w:pStyle w:val="Normal"/>
        <w:spacing w:lineRule="auto" w:line="240" w:before="0" w:after="0"/>
        <w:ind w:left="708" w:hanging="0"/>
        <w:jc w:val="both"/>
        <w:rPr>
          <w:rFonts w:eastAsia="Times New Roman" w:cs="Arial"/>
          <w:b/>
          <w:b/>
          <w:i/>
          <w:i/>
          <w:sz w:val="20"/>
          <w:szCs w:val="20"/>
          <w:lang w:eastAsia="es-ES"/>
        </w:rPr>
      </w:pPr>
      <w:r>
        <w:rPr>
          <w:rFonts w:eastAsia="Symbol" w:cs="Symbol" w:ascii="Symbol" w:hAnsi="Symbol"/>
          <w:b/>
          <w:i/>
          <w:sz w:val="20"/>
          <w:szCs w:val="20"/>
          <w:lang w:eastAsia="es-ES"/>
        </w:rPr>
        <w:t></w:t>
      </w:r>
      <w:r>
        <w:rPr>
          <w:rFonts w:eastAsia="Times New Roman" w:cs="Arial"/>
          <w:b/>
          <w:i/>
          <w:sz w:val="20"/>
          <w:szCs w:val="20"/>
          <w:lang w:eastAsia="es-ES"/>
        </w:rPr>
        <w:t xml:space="preserve"> </w:t>
      </w:r>
      <w:r>
        <w:rPr>
          <w:rFonts w:eastAsia="Times New Roman" w:cs="Arial"/>
          <w:b/>
          <w:i/>
          <w:sz w:val="20"/>
          <w:szCs w:val="20"/>
          <w:lang w:eastAsia="es-ES"/>
        </w:rPr>
        <w:t>de parques eólicos en espacios pertenecientes a la Red Natura 2000 y en su inmediato</w:t>
      </w:r>
      <w:r>
        <w:rPr>
          <w:rFonts w:eastAsia="Times New Roman" w:cs="Times New Roman"/>
          <w:b/>
          <w:i/>
          <w:sz w:val="20"/>
          <w:szCs w:val="20"/>
          <w:lang w:eastAsia="es-ES"/>
        </w:rPr>
        <w:t xml:space="preserve"> </w:t>
      </w:r>
      <w:r>
        <w:rPr>
          <w:rFonts w:eastAsia="Times New Roman" w:cs="Arial"/>
          <w:b/>
          <w:i/>
          <w:sz w:val="20"/>
          <w:szCs w:val="20"/>
          <w:lang w:eastAsia="es-ES"/>
        </w:rPr>
        <w:t>entorno (1-5 km para ZECs/LICs con quirópteros y 2-10 km para ZEPAs), y en espacios</w:t>
      </w:r>
      <w:r>
        <w:rPr>
          <w:rFonts w:eastAsia="Times New Roman" w:cs="Times New Roman"/>
          <w:b/>
          <w:i/>
          <w:sz w:val="20"/>
          <w:szCs w:val="20"/>
          <w:lang w:eastAsia="es-ES"/>
        </w:rPr>
        <w:t xml:space="preserve"> </w:t>
      </w:r>
      <w:r>
        <w:rPr>
          <w:rFonts w:eastAsia="Times New Roman" w:cs="Arial"/>
          <w:b/>
          <w:i/>
          <w:sz w:val="20"/>
          <w:szCs w:val="20"/>
          <w:lang w:eastAsia="es-ES"/>
        </w:rPr>
        <w:t>naturales protegidos de cualquier tipo y áreas protegidas por instrumentos internacionales y</w:t>
      </w:r>
      <w:r>
        <w:rPr>
          <w:rFonts w:eastAsia="Times New Roman" w:cs="Times New Roman"/>
          <w:b/>
          <w:i/>
          <w:sz w:val="20"/>
          <w:szCs w:val="20"/>
          <w:lang w:eastAsia="es-ES"/>
        </w:rPr>
        <w:t xml:space="preserve"> </w:t>
      </w:r>
      <w:r>
        <w:rPr>
          <w:rFonts w:eastAsia="Times New Roman" w:cs="Arial"/>
          <w:b/>
          <w:i/>
          <w:sz w:val="20"/>
          <w:szCs w:val="20"/>
          <w:lang w:eastAsia="es-ES"/>
        </w:rPr>
        <w:t>sus respectivas zonas periféricas de protección.</w:t>
      </w:r>
    </w:p>
    <w:p>
      <w:pPr>
        <w:pStyle w:val="Normal"/>
        <w:spacing w:lineRule="auto" w:line="240" w:before="0" w:after="0"/>
        <w:ind w:left="708" w:hanging="0"/>
        <w:jc w:val="both"/>
        <w:rPr>
          <w:rFonts w:eastAsia="Times New Roman" w:cs="Times New Roman"/>
          <w:b/>
          <w:b/>
          <w:i/>
          <w:i/>
          <w:sz w:val="8"/>
          <w:szCs w:val="8"/>
          <w:lang w:eastAsia="es-ES"/>
        </w:rPr>
      </w:pPr>
      <w:r>
        <w:rPr>
          <w:rFonts w:eastAsia="Times New Roman" w:cs="Times New Roman"/>
          <w:b/>
          <w:i/>
          <w:sz w:val="8"/>
          <w:szCs w:val="8"/>
          <w:lang w:eastAsia="es-ES"/>
        </w:rPr>
      </w:r>
    </w:p>
    <w:p>
      <w:pPr>
        <w:pStyle w:val="Normal"/>
        <w:spacing w:lineRule="auto" w:line="240" w:before="0" w:after="0"/>
        <w:ind w:left="708" w:hanging="0"/>
        <w:jc w:val="both"/>
        <w:rPr>
          <w:rFonts w:eastAsia="Times New Roman" w:cs="Arial"/>
          <w:b/>
          <w:b/>
          <w:i/>
          <w:i/>
          <w:sz w:val="20"/>
          <w:szCs w:val="20"/>
          <w:lang w:eastAsia="es-ES"/>
        </w:rPr>
      </w:pPr>
      <w:r>
        <w:rPr>
          <w:rFonts w:eastAsia="Symbol" w:cs="Symbol" w:ascii="Symbol" w:hAnsi="Symbol"/>
          <w:b/>
          <w:i/>
          <w:sz w:val="20"/>
          <w:szCs w:val="20"/>
          <w:lang w:eastAsia="es-ES"/>
        </w:rPr>
        <w:t></w:t>
      </w:r>
      <w:r>
        <w:rPr>
          <w:rFonts w:eastAsia="Times New Roman" w:cs="Arial"/>
          <w:b/>
          <w:i/>
          <w:sz w:val="20"/>
          <w:szCs w:val="20"/>
          <w:lang w:eastAsia="es-ES"/>
        </w:rPr>
        <w:t xml:space="preserve"> </w:t>
      </w:r>
      <w:r>
        <w:rPr>
          <w:rFonts w:eastAsia="Times New Roman" w:cs="Arial"/>
          <w:b/>
          <w:i/>
          <w:sz w:val="20"/>
          <w:szCs w:val="20"/>
          <w:lang w:eastAsia="es-ES"/>
        </w:rPr>
        <w:t>de nuevos tendidos eléctricos aéreos dentro de ZEPAs y en su entorno (1-5 km). Si no hay</w:t>
      </w:r>
      <w:r>
        <w:rPr>
          <w:rFonts w:eastAsia="Times New Roman" w:cs="Times New Roman"/>
          <w:b/>
          <w:i/>
          <w:sz w:val="20"/>
          <w:szCs w:val="20"/>
          <w:lang w:eastAsia="es-ES"/>
        </w:rPr>
        <w:t xml:space="preserve"> </w:t>
      </w:r>
      <w:r>
        <w:rPr>
          <w:rFonts w:eastAsia="Times New Roman" w:cs="Arial"/>
          <w:b/>
          <w:i/>
          <w:sz w:val="20"/>
          <w:szCs w:val="20"/>
          <w:lang w:eastAsia="es-ES"/>
        </w:rPr>
        <w:t>alternativa fuera de estos ámbitos, priorizar el soterramiento de los nuevos tendidos</w:t>
      </w:r>
      <w:r>
        <w:rPr>
          <w:rFonts w:eastAsia="Times New Roman" w:cs="Times New Roman"/>
          <w:b/>
          <w:i/>
          <w:sz w:val="20"/>
          <w:szCs w:val="20"/>
          <w:lang w:eastAsia="es-ES"/>
        </w:rPr>
        <w:t xml:space="preserve"> </w:t>
      </w:r>
      <w:r>
        <w:rPr>
          <w:rFonts w:eastAsia="Times New Roman" w:cs="Arial"/>
          <w:b/>
          <w:i/>
          <w:sz w:val="20"/>
          <w:szCs w:val="20"/>
          <w:lang w:eastAsia="es-ES"/>
        </w:rPr>
        <w:t>eléctricos.</w:t>
      </w:r>
    </w:p>
    <w:p>
      <w:pPr>
        <w:pStyle w:val="Normal"/>
        <w:spacing w:lineRule="auto" w:line="240" w:before="0" w:after="0"/>
        <w:ind w:left="708" w:hanging="0"/>
        <w:jc w:val="both"/>
        <w:rPr>
          <w:rFonts w:eastAsia="Times New Roman" w:cs="Times New Roman"/>
          <w:b/>
          <w:b/>
          <w:i/>
          <w:i/>
          <w:sz w:val="8"/>
          <w:szCs w:val="8"/>
          <w:lang w:eastAsia="es-ES"/>
        </w:rPr>
      </w:pPr>
      <w:r>
        <w:rPr>
          <w:rFonts w:eastAsia="Times New Roman" w:cs="Times New Roman"/>
          <w:b/>
          <w:i/>
          <w:sz w:val="8"/>
          <w:szCs w:val="8"/>
          <w:lang w:eastAsia="es-ES"/>
        </w:rPr>
      </w:r>
    </w:p>
    <w:p>
      <w:pPr>
        <w:pStyle w:val="Normal"/>
        <w:spacing w:lineRule="auto" w:line="240" w:before="0" w:after="0"/>
        <w:ind w:left="708" w:hanging="0"/>
        <w:jc w:val="both"/>
        <w:rPr>
          <w:rFonts w:eastAsia="Times New Roman" w:cs="Arial"/>
          <w:b/>
          <w:b/>
          <w:i/>
          <w:i/>
          <w:sz w:val="20"/>
          <w:szCs w:val="20"/>
          <w:lang w:eastAsia="es-ES"/>
        </w:rPr>
      </w:pPr>
      <w:r>
        <w:rPr>
          <w:rFonts w:eastAsia="Symbol" w:cs="Symbol" w:ascii="Symbol" w:hAnsi="Symbol"/>
          <w:b/>
          <w:i/>
          <w:sz w:val="20"/>
          <w:szCs w:val="20"/>
          <w:lang w:eastAsia="es-ES"/>
        </w:rPr>
        <w:t></w:t>
      </w:r>
      <w:r>
        <w:rPr>
          <w:rFonts w:eastAsia="Times New Roman" w:cs="Arial"/>
          <w:b/>
          <w:i/>
          <w:sz w:val="20"/>
          <w:szCs w:val="20"/>
          <w:lang w:eastAsia="es-ES"/>
        </w:rPr>
        <w:t xml:space="preserve"> </w:t>
      </w:r>
      <w:r>
        <w:rPr>
          <w:rFonts w:eastAsia="Times New Roman" w:cs="Arial"/>
          <w:b/>
          <w:i/>
          <w:sz w:val="20"/>
          <w:szCs w:val="20"/>
          <w:lang w:eastAsia="es-ES"/>
        </w:rPr>
        <w:t>de parques y de tendidos aéreos sobre elementos de infraestructura verde formalmente</w:t>
      </w:r>
      <w:r>
        <w:rPr>
          <w:rFonts w:eastAsia="Times New Roman" w:cs="Times New Roman"/>
          <w:b/>
          <w:i/>
          <w:sz w:val="20"/>
          <w:szCs w:val="20"/>
          <w:lang w:eastAsia="es-ES"/>
        </w:rPr>
        <w:t xml:space="preserve"> </w:t>
      </w:r>
      <w:r>
        <w:rPr>
          <w:rFonts w:eastAsia="Times New Roman" w:cs="Arial"/>
          <w:b/>
          <w:i/>
          <w:sz w:val="20"/>
          <w:szCs w:val="20"/>
          <w:lang w:eastAsia="es-ES"/>
        </w:rPr>
        <w:t>reconocidos por su valor para la migración o el movimiento de las aves o quirópteros</w:t>
      </w:r>
      <w:r>
        <w:rPr>
          <w:rFonts w:eastAsia="Times New Roman" w:cs="Times New Roman"/>
          <w:b/>
          <w:i/>
          <w:sz w:val="20"/>
          <w:szCs w:val="20"/>
          <w:lang w:eastAsia="es-ES"/>
        </w:rPr>
        <w:t xml:space="preserve"> </w:t>
      </w:r>
      <w:r>
        <w:rPr>
          <w:rFonts w:eastAsia="Times New Roman" w:cs="Arial"/>
          <w:b/>
          <w:i/>
          <w:sz w:val="20"/>
          <w:szCs w:val="20"/>
          <w:lang w:eastAsia="es-ES"/>
        </w:rPr>
        <w:t>(corredores ecológicos entre espacios Natura 2000, zonas de concentración de flujos</w:t>
      </w:r>
      <w:r>
        <w:rPr>
          <w:rFonts w:eastAsia="Times New Roman" w:cs="Times New Roman"/>
          <w:b/>
          <w:i/>
          <w:sz w:val="20"/>
          <w:szCs w:val="20"/>
          <w:lang w:eastAsia="es-ES"/>
        </w:rPr>
        <w:t xml:space="preserve"> </w:t>
      </w:r>
      <w:r>
        <w:rPr>
          <w:rFonts w:eastAsia="Times New Roman" w:cs="Arial"/>
          <w:b/>
          <w:i/>
          <w:sz w:val="20"/>
          <w:szCs w:val="20"/>
          <w:lang w:eastAsia="es-ES"/>
        </w:rPr>
        <w:t>migratorios o zonas vitales para la movilidad de especies clave), así como sobre otros</w:t>
      </w:r>
      <w:r>
        <w:rPr>
          <w:rFonts w:eastAsia="Times New Roman" w:cs="Times New Roman"/>
          <w:b/>
          <w:i/>
          <w:sz w:val="20"/>
          <w:szCs w:val="20"/>
          <w:lang w:eastAsia="es-ES"/>
        </w:rPr>
        <w:t xml:space="preserve"> </w:t>
      </w:r>
      <w:r>
        <w:rPr>
          <w:rFonts w:eastAsia="Times New Roman" w:cs="Arial"/>
          <w:b/>
          <w:i/>
          <w:sz w:val="20"/>
          <w:szCs w:val="20"/>
          <w:lang w:eastAsia="es-ES"/>
        </w:rPr>
        <w:t>elementos del paisaje que siempre tienen función de conectividad para aves o quirópteros:</w:t>
      </w:r>
      <w:r>
        <w:rPr>
          <w:rFonts w:eastAsia="Times New Roman" w:cs="Times New Roman"/>
          <w:b/>
          <w:i/>
          <w:sz w:val="20"/>
          <w:szCs w:val="20"/>
          <w:lang w:eastAsia="es-ES"/>
        </w:rPr>
        <w:t xml:space="preserve"> </w:t>
      </w:r>
      <w:r>
        <w:rPr>
          <w:rFonts w:eastAsia="Times New Roman" w:cs="Arial"/>
          <w:b/>
          <w:i/>
          <w:sz w:val="20"/>
          <w:szCs w:val="20"/>
          <w:lang w:eastAsia="es-ES"/>
        </w:rPr>
        <w:t>ríos, humedales, collados de montaña, bosques isla, refugios u otros focos de</w:t>
      </w:r>
      <w:r>
        <w:rPr>
          <w:rFonts w:eastAsia="Times New Roman" w:cs="Times New Roman"/>
          <w:b/>
          <w:i/>
          <w:sz w:val="20"/>
          <w:szCs w:val="20"/>
          <w:lang w:eastAsia="es-ES"/>
        </w:rPr>
        <w:t xml:space="preserve"> </w:t>
      </w:r>
      <w:r>
        <w:rPr>
          <w:rFonts w:eastAsia="Times New Roman" w:cs="Arial"/>
          <w:b/>
          <w:i/>
          <w:sz w:val="20"/>
          <w:szCs w:val="20"/>
          <w:lang w:eastAsia="es-ES"/>
        </w:rPr>
        <w:t>concentración.</w:t>
      </w:r>
    </w:p>
    <w:p>
      <w:pPr>
        <w:pStyle w:val="Normal"/>
        <w:spacing w:lineRule="auto" w:line="240" w:before="0" w:after="0"/>
        <w:ind w:left="708" w:hanging="0"/>
        <w:jc w:val="both"/>
        <w:rPr>
          <w:rFonts w:eastAsia="Times New Roman" w:cs="Times New Roman"/>
          <w:b/>
          <w:b/>
          <w:i/>
          <w:i/>
          <w:sz w:val="8"/>
          <w:szCs w:val="8"/>
          <w:lang w:eastAsia="es-ES"/>
        </w:rPr>
      </w:pPr>
      <w:r>
        <w:rPr>
          <w:rFonts w:eastAsia="Times New Roman" w:cs="Times New Roman"/>
          <w:b/>
          <w:i/>
          <w:sz w:val="8"/>
          <w:szCs w:val="8"/>
          <w:lang w:eastAsia="es-ES"/>
        </w:rPr>
      </w:r>
    </w:p>
    <w:p>
      <w:pPr>
        <w:pStyle w:val="Normal"/>
        <w:spacing w:lineRule="auto" w:line="240" w:before="0" w:after="0"/>
        <w:ind w:left="708" w:hanging="0"/>
        <w:jc w:val="both"/>
        <w:rPr>
          <w:rFonts w:eastAsia="Times New Roman" w:cs="Times New Roman"/>
          <w:b/>
          <w:b/>
          <w:i/>
          <w:i/>
          <w:sz w:val="20"/>
          <w:szCs w:val="20"/>
          <w:lang w:eastAsia="es-ES"/>
        </w:rPr>
      </w:pPr>
      <w:r>
        <w:rPr>
          <w:rFonts w:eastAsia="Symbol" w:cs="Symbol" w:ascii="Symbol" w:hAnsi="Symbol"/>
          <w:b/>
          <w:i/>
          <w:sz w:val="20"/>
          <w:szCs w:val="20"/>
          <w:lang w:eastAsia="es-ES"/>
        </w:rPr>
        <w:t></w:t>
      </w:r>
      <w:r>
        <w:rPr>
          <w:rFonts w:eastAsia="Times New Roman" w:cs="Arial"/>
          <w:b/>
          <w:i/>
          <w:sz w:val="20"/>
          <w:szCs w:val="20"/>
          <w:lang w:eastAsia="es-ES"/>
        </w:rPr>
        <w:t xml:space="preserve"> </w:t>
      </w:r>
      <w:r>
        <w:rPr>
          <w:rFonts w:eastAsia="Times New Roman" w:cs="Arial"/>
          <w:b/>
          <w:i/>
          <w:sz w:val="20"/>
          <w:szCs w:val="20"/>
          <w:lang w:eastAsia="es-ES"/>
        </w:rPr>
        <w:t>en Lugares de Interés Geológico.</w:t>
      </w:r>
    </w:p>
    <w:p>
      <w:pPr>
        <w:pStyle w:val="Normal"/>
        <w:spacing w:lineRule="auto" w:line="240" w:before="0" w:after="0"/>
        <w:jc w:val="both"/>
        <w:rPr>
          <w:rFonts w:eastAsia="Times New Roman" w:cs="Times New Roman"/>
          <w:b/>
          <w:b/>
          <w:i/>
          <w:i/>
          <w:sz w:val="8"/>
          <w:szCs w:val="8"/>
          <w:lang w:eastAsia="es-ES"/>
        </w:rPr>
      </w:pPr>
      <w:r>
        <w:rPr>
          <w:rFonts w:eastAsia="Times New Roman" w:cs="Times New Roman"/>
          <w:b/>
          <w:i/>
          <w:sz w:val="8"/>
          <w:szCs w:val="8"/>
          <w:lang w:eastAsia="es-ES"/>
        </w:rPr>
      </w:r>
    </w:p>
    <w:p>
      <w:pPr>
        <w:pStyle w:val="Normal"/>
        <w:spacing w:lineRule="auto" w:line="240" w:before="0" w:after="0"/>
        <w:jc w:val="both"/>
        <w:rPr>
          <w:rFonts w:eastAsia="Times New Roman" w:cs="Times New Roman"/>
          <w:b/>
          <w:b/>
          <w:sz w:val="20"/>
          <w:szCs w:val="20"/>
          <w:lang w:eastAsia="es-ES"/>
        </w:rPr>
      </w:pPr>
      <w:hyperlink r:id="rId12">
        <w:r>
          <w:rPr>
            <w:rStyle w:val="EnlacedeInternet"/>
            <w:rFonts w:eastAsia="Times New Roman" w:cs="Times New Roman"/>
            <w:b/>
            <w:color w:val="auto"/>
            <w:sz w:val="20"/>
            <w:szCs w:val="20"/>
            <w:lang w:eastAsia="es-ES"/>
          </w:rPr>
          <w:t>https://drive.google.com/file/d/1f3BLY6l0aRPIqpV-hPmUsm6G1zPDfDRg/view?usp=share_link</w:t>
        </w:r>
      </w:hyperlink>
    </w:p>
    <w:p>
      <w:pPr>
        <w:pStyle w:val="Normal"/>
        <w:spacing w:lineRule="auto" w:line="240" w:before="0" w:after="0"/>
        <w:ind w:left="708" w:hanging="0"/>
        <w:jc w:val="both"/>
        <w:rPr>
          <w:rFonts w:eastAsia="Times New Roman" w:cs="Times New Roman"/>
          <w:b/>
          <w:b/>
          <w:i/>
          <w:i/>
          <w:sz w:val="20"/>
          <w:szCs w:val="20"/>
          <w:lang w:eastAsia="es-ES"/>
        </w:rPr>
      </w:pPr>
      <w:r>
        <w:rPr>
          <w:rFonts w:eastAsia="Times New Roman" w:cs="Times New Roman"/>
          <w:b/>
          <w:i/>
          <w:sz w:val="20"/>
          <w:szCs w:val="20"/>
          <w:lang w:eastAsia="es-ES"/>
        </w:rPr>
      </w:r>
    </w:p>
    <w:p>
      <w:pPr>
        <w:pStyle w:val="Normal"/>
        <w:spacing w:lineRule="auto" w:line="240" w:before="0" w:after="0"/>
        <w:jc w:val="both"/>
        <w:rPr>
          <w:b/>
          <w:b/>
          <w:sz w:val="20"/>
          <w:szCs w:val="20"/>
        </w:rPr>
      </w:pPr>
      <w:r>
        <w:rPr>
          <w:b/>
          <w:sz w:val="20"/>
          <w:szCs w:val="20"/>
        </w:rPr>
        <w:t xml:space="preserve">13.13. </w:t>
      </w:r>
      <w:r>
        <w:rPr>
          <w:b/>
          <w:sz w:val="20"/>
          <w:szCs w:val="20"/>
          <w:u w:val="single"/>
        </w:rPr>
        <w:t>En otras Declaraciones de impacto ambiental formuladas por el propio MITECO, ha sido determinante la circunstancia de situarse dentro de la Red natura 2000 para que dicha Declaración de impacto fuera desfavorable</w:t>
      </w:r>
    </w:p>
    <w:p>
      <w:pPr>
        <w:pStyle w:val="Normal"/>
        <w:shd w:val="clear" w:color="auto" w:fill="FFFFFF" w:themeFill="background1"/>
        <w:spacing w:lineRule="auto" w:line="240" w:before="0" w:after="0"/>
        <w:jc w:val="both"/>
        <w:rPr>
          <w:b/>
          <w:b/>
          <w:sz w:val="8"/>
          <w:szCs w:val="8"/>
        </w:rPr>
      </w:pPr>
      <w:r>
        <w:rPr>
          <w:b/>
          <w:sz w:val="8"/>
          <w:szCs w:val="8"/>
        </w:rPr>
      </w:r>
    </w:p>
    <w:p>
      <w:pPr>
        <w:pStyle w:val="Normal"/>
        <w:shd w:val="clear" w:color="auto" w:fill="FFFFFF" w:themeFill="background1"/>
        <w:spacing w:lineRule="auto" w:line="240" w:before="0" w:after="0"/>
        <w:jc w:val="both"/>
        <w:rPr>
          <w:b/>
          <w:b/>
          <w:sz w:val="20"/>
          <w:szCs w:val="20"/>
        </w:rPr>
      </w:pPr>
      <w:r>
        <w:rPr>
          <w:b/>
          <w:sz w:val="20"/>
          <w:szCs w:val="20"/>
        </w:rPr>
        <w:t>13.13.1.</w:t>
      </w:r>
      <w:r>
        <w:rPr>
          <w:b/>
          <w:sz w:val="24"/>
          <w:szCs w:val="24"/>
        </w:rPr>
        <w:t xml:space="preserve"> </w:t>
      </w:r>
      <w:r>
        <w:rPr>
          <w:b/>
          <w:sz w:val="20"/>
          <w:szCs w:val="20"/>
        </w:rPr>
        <w:t>Como ejemplo, en la reciente Resolución de 28 de diciembre de 2022 de la Dirección General de Calidad y Evaluación Ambiental (BOE 11 de enero de 2023) en relación con el P.E. Villarino, se señala como uno de los factores más importantes para su calificación como DIA desfavorable el siguiente:</w:t>
      </w:r>
    </w:p>
    <w:p>
      <w:pPr>
        <w:pStyle w:val="Normal"/>
        <w:shd w:val="clear" w:color="auto" w:fill="FFFFFF" w:themeFill="background1"/>
        <w:spacing w:lineRule="auto" w:line="240" w:before="0" w:after="0"/>
        <w:ind w:left="708" w:hanging="0"/>
        <w:jc w:val="both"/>
        <w:rPr>
          <w:b/>
          <w:b/>
          <w:i/>
          <w:i/>
          <w:sz w:val="8"/>
          <w:szCs w:val="8"/>
        </w:rPr>
      </w:pPr>
      <w:r>
        <w:rPr>
          <w:b/>
          <w:i/>
          <w:sz w:val="8"/>
          <w:szCs w:val="8"/>
        </w:rPr>
      </w:r>
    </w:p>
    <w:p>
      <w:pPr>
        <w:pStyle w:val="Normal"/>
        <w:shd w:val="clear" w:color="auto" w:fill="FFFFFF" w:themeFill="background1"/>
        <w:spacing w:lineRule="auto" w:line="240" w:before="0" w:after="0"/>
        <w:ind w:left="708" w:hanging="0"/>
        <w:jc w:val="both"/>
        <w:rPr>
          <w:b/>
          <w:b/>
          <w:i/>
          <w:i/>
          <w:sz w:val="20"/>
          <w:szCs w:val="20"/>
        </w:rPr>
      </w:pPr>
      <w:r>
        <w:rPr>
          <w:b/>
          <w:i/>
          <w:sz w:val="20"/>
          <w:szCs w:val="20"/>
        </w:rPr>
        <w:t>“</w:t>
      </w:r>
      <w:r>
        <w:rPr>
          <w:b/>
          <w:i/>
          <w:sz w:val="20"/>
          <w:szCs w:val="20"/>
        </w:rPr>
        <w:t>El proyecto se desarrolla en una zona de apreciable importancia para varias especies de aves y quirópteros protegidas. El parque eólico se encuentra próximo el espacio protegido de la Red Natura 2000 ZEC y ZEPA «Arribes del Duero» (ES4150096/ES0000118), y del «Parque Natural Arribes del Duero», y parte de la infraestructura de evacuación se ubica dentro de estos espacios protegidos”.</w:t>
      </w:r>
    </w:p>
    <w:p>
      <w:pPr>
        <w:pStyle w:val="Normal"/>
        <w:shd w:val="clear" w:color="auto" w:fill="FFFFFF" w:themeFill="background1"/>
        <w:spacing w:lineRule="auto" w:line="240" w:before="0" w:after="0"/>
        <w:ind w:left="708" w:hanging="0"/>
        <w:jc w:val="both"/>
        <w:rPr>
          <w:b/>
          <w:b/>
          <w:i/>
          <w:i/>
          <w:sz w:val="8"/>
          <w:szCs w:val="8"/>
        </w:rPr>
      </w:pPr>
      <w:r>
        <w:rPr>
          <w:b/>
          <w:i/>
          <w:sz w:val="8"/>
          <w:szCs w:val="8"/>
        </w:rPr>
      </w:r>
    </w:p>
    <w:p>
      <w:pPr>
        <w:pStyle w:val="Normal"/>
        <w:shd w:val="clear" w:color="auto" w:fill="FFFFFF" w:themeFill="background1"/>
        <w:spacing w:lineRule="auto" w:line="240" w:before="0" w:after="0"/>
        <w:jc w:val="both"/>
        <w:rPr>
          <w:b/>
          <w:b/>
          <w:sz w:val="20"/>
          <w:szCs w:val="20"/>
        </w:rPr>
      </w:pPr>
      <w:hyperlink r:id="rId13">
        <w:r>
          <w:rPr>
            <w:rStyle w:val="EnlacedeInternet"/>
            <w:b/>
            <w:color w:val="auto"/>
            <w:sz w:val="20"/>
            <w:szCs w:val="20"/>
          </w:rPr>
          <w:t>https://www.boe.es/diario_boe/txt.php?id=BOE-A-2023-706</w:t>
        </w:r>
      </w:hyperlink>
    </w:p>
    <w:p>
      <w:pPr>
        <w:pStyle w:val="Normal"/>
        <w:shd w:val="clear" w:color="auto" w:fill="FFFFFF" w:themeFill="background1"/>
        <w:spacing w:lineRule="auto" w:line="240" w:before="0" w:after="0"/>
        <w:jc w:val="both"/>
        <w:rPr>
          <w:b/>
          <w:b/>
          <w:sz w:val="20"/>
          <w:szCs w:val="20"/>
        </w:rPr>
      </w:pPr>
      <w:r>
        <w:rPr>
          <w:b/>
          <w:sz w:val="20"/>
          <w:szCs w:val="20"/>
        </w:rPr>
      </w:r>
    </w:p>
    <w:p>
      <w:pPr>
        <w:pStyle w:val="Normal"/>
        <w:spacing w:lineRule="auto" w:line="240" w:before="0" w:after="0"/>
        <w:jc w:val="both"/>
        <w:rPr>
          <w:rFonts w:cs="DejaVuSans"/>
          <w:b/>
          <w:b/>
          <w:sz w:val="20"/>
          <w:szCs w:val="20"/>
        </w:rPr>
      </w:pPr>
      <w:r>
        <w:rPr>
          <w:b/>
          <w:sz w:val="20"/>
          <w:szCs w:val="20"/>
        </w:rPr>
        <w:t xml:space="preserve">13.14. </w:t>
      </w:r>
      <w:r>
        <w:rPr>
          <w:rFonts w:cs="DejaVuSans"/>
          <w:b/>
          <w:sz w:val="20"/>
          <w:szCs w:val="20"/>
        </w:rPr>
        <w:t xml:space="preserve">Los Objetivos de los valores de conservación del EPRN2000 de la </w:t>
      </w:r>
      <w:r>
        <w:rPr>
          <w:rFonts w:eastAsia="DejaVuSans-Bold" w:cs="DejaVuSans-Bold"/>
          <w:b/>
          <w:bCs/>
          <w:sz w:val="20"/>
          <w:szCs w:val="20"/>
        </w:rPr>
        <w:t>ZEPA ES0000306 - Rio Guadalope –Maestrazgo</w:t>
      </w:r>
      <w:r>
        <w:rPr>
          <w:rFonts w:cs="DejaVuSans"/>
          <w:b/>
          <w:sz w:val="20"/>
          <w:szCs w:val="20"/>
        </w:rPr>
        <w:t xml:space="preserve">, ya que para el </w:t>
      </w:r>
      <w:r>
        <w:rPr>
          <w:rFonts w:eastAsia="DejaVuSans-Bold" w:cs="DejaVuSans-Bold"/>
          <w:b/>
          <w:bCs/>
          <w:sz w:val="20"/>
          <w:szCs w:val="20"/>
        </w:rPr>
        <w:t xml:space="preserve">Alimoche </w:t>
      </w:r>
      <w:r>
        <w:rPr>
          <w:rFonts w:cs="DejaVuSans"/>
          <w:b/>
          <w:sz w:val="20"/>
          <w:szCs w:val="20"/>
        </w:rPr>
        <w:t xml:space="preserve">se propone como objetivo </w:t>
      </w:r>
      <w:r>
        <w:rPr>
          <w:rFonts w:cs="DejaVuSans"/>
          <w:b/>
          <w:sz w:val="20"/>
          <w:szCs w:val="20"/>
          <w:u w:val="single"/>
        </w:rPr>
        <w:t>“</w:t>
      </w:r>
      <w:r>
        <w:rPr>
          <w:rFonts w:cs="DejaVuSans-Oblique"/>
          <w:b/>
          <w:i/>
          <w:iCs/>
          <w:sz w:val="20"/>
          <w:szCs w:val="20"/>
          <w:u w:val="single"/>
        </w:rPr>
        <w:t>mantener o</w:t>
      </w:r>
      <w:r>
        <w:rPr>
          <w:rFonts w:cs="DejaVuSans"/>
          <w:b/>
          <w:sz w:val="20"/>
          <w:szCs w:val="20"/>
          <w:u w:val="single"/>
        </w:rPr>
        <w:t xml:space="preserve"> </w:t>
      </w:r>
      <w:r>
        <w:rPr>
          <w:rFonts w:cs="DejaVuSans-Oblique"/>
          <w:b/>
          <w:i/>
          <w:iCs/>
          <w:sz w:val="20"/>
          <w:szCs w:val="20"/>
          <w:u w:val="single"/>
        </w:rPr>
        <w:t>aumentar el nº de parejas reproductoras, así como los datos de productividad y éxito</w:t>
      </w:r>
      <w:r>
        <w:rPr>
          <w:rFonts w:cs="DejaVuSans"/>
          <w:b/>
          <w:sz w:val="20"/>
          <w:szCs w:val="20"/>
          <w:u w:val="single"/>
        </w:rPr>
        <w:t xml:space="preserve"> </w:t>
      </w:r>
      <w:r>
        <w:rPr>
          <w:rFonts w:cs="DejaVuSans-Oblique"/>
          <w:b/>
          <w:i/>
          <w:iCs/>
          <w:sz w:val="20"/>
          <w:szCs w:val="20"/>
          <w:u w:val="single"/>
        </w:rPr>
        <w:t>reproductor de la EIC en el espacio protegido red Natura 2000</w:t>
      </w:r>
      <w:r>
        <w:rPr>
          <w:rFonts w:cs="DejaVuSans"/>
          <w:b/>
          <w:sz w:val="20"/>
          <w:szCs w:val="20"/>
        </w:rPr>
        <w:t>”, así como “</w:t>
      </w:r>
      <w:r>
        <w:rPr>
          <w:rFonts w:cs="DejaVuSans-Oblique"/>
          <w:b/>
          <w:i/>
          <w:iCs/>
          <w:sz w:val="20"/>
          <w:szCs w:val="20"/>
          <w:u w:val="single"/>
        </w:rPr>
        <w:t>disminuir la</w:t>
      </w:r>
      <w:r>
        <w:rPr>
          <w:rFonts w:cs="DejaVuSans"/>
          <w:b/>
          <w:sz w:val="20"/>
          <w:szCs w:val="20"/>
          <w:u w:val="single"/>
        </w:rPr>
        <w:t xml:space="preserve"> </w:t>
      </w:r>
      <w:r>
        <w:rPr>
          <w:rFonts w:cs="DejaVuSans-Oblique"/>
          <w:b/>
          <w:i/>
          <w:iCs/>
          <w:sz w:val="20"/>
          <w:szCs w:val="20"/>
          <w:u w:val="single"/>
        </w:rPr>
        <w:t>presencia e incidencia de las presiones y amenazas</w:t>
      </w:r>
      <w:r>
        <w:rPr>
          <w:rFonts w:cs="DejaVuSans-Oblique"/>
          <w:b/>
          <w:i/>
          <w:iCs/>
          <w:sz w:val="20"/>
          <w:szCs w:val="20"/>
        </w:rPr>
        <w:t>, teniendo en cuenta la resiliencia</w:t>
      </w:r>
      <w:r>
        <w:rPr>
          <w:rFonts w:cs="DejaVuSans"/>
          <w:b/>
          <w:sz w:val="20"/>
          <w:szCs w:val="20"/>
        </w:rPr>
        <w:t xml:space="preserve"> </w:t>
      </w:r>
      <w:r>
        <w:rPr>
          <w:rFonts w:cs="DejaVuSans-Oblique"/>
          <w:b/>
          <w:i/>
          <w:iCs/>
          <w:sz w:val="20"/>
          <w:szCs w:val="20"/>
        </w:rPr>
        <w:t>del EIC en el espacio protegido red Natura 2000, procurando que su tendencia sea a</w:t>
      </w:r>
      <w:r>
        <w:rPr>
          <w:rFonts w:cs="DejaVuSans"/>
          <w:b/>
          <w:sz w:val="20"/>
          <w:szCs w:val="20"/>
        </w:rPr>
        <w:t xml:space="preserve"> </w:t>
      </w:r>
      <w:r>
        <w:rPr>
          <w:rFonts w:cs="DejaVuSans-Oblique"/>
          <w:b/>
          <w:i/>
          <w:iCs/>
          <w:sz w:val="20"/>
          <w:szCs w:val="20"/>
        </w:rPr>
        <w:t>disminuir e incluso desaparecer</w:t>
      </w:r>
      <w:r>
        <w:rPr>
          <w:rFonts w:cs="DejaVuSans"/>
          <w:b/>
          <w:sz w:val="20"/>
          <w:szCs w:val="20"/>
        </w:rPr>
        <w:t xml:space="preserve">”; Este EPRN2000 se encuentra, de hecho, dentro del ámbito del </w:t>
      </w:r>
      <w:r>
        <w:rPr>
          <w:rFonts w:cs="DejaVuSans"/>
          <w:b/>
          <w:sz w:val="20"/>
          <w:szCs w:val="20"/>
          <w:u w:val="single"/>
        </w:rPr>
        <w:t xml:space="preserve">Plan de recuperación del </w:t>
      </w:r>
      <w:r>
        <w:rPr>
          <w:rFonts w:eastAsia="DejaVuSans-Bold" w:cs="DejaVuSans-Bold"/>
          <w:b/>
          <w:bCs/>
          <w:sz w:val="20"/>
          <w:szCs w:val="20"/>
          <w:u w:val="single"/>
        </w:rPr>
        <w:t>Águila perdicera</w:t>
      </w:r>
      <w:r>
        <w:rPr>
          <w:rFonts w:cs="DejaVuSans"/>
          <w:b/>
          <w:sz w:val="20"/>
          <w:szCs w:val="20"/>
        </w:rPr>
        <w:t>, aprobado mediante el Decreto 326/2011, en el que se prohíbe la instalación de parques eólicos o aerogeneradores en los espacios de la Red Natura 2000 incluidos en su ámbito de aplicación. No se propone la instalación de aerogeneradores dentro de la ZEPA, pero ésta se vería rodeada por estas infraestructuras.</w:t>
      </w:r>
    </w:p>
    <w:p>
      <w:pPr>
        <w:pStyle w:val="Normal"/>
        <w:shd w:val="clear" w:color="auto" w:fill="FFFFFF" w:themeFill="background1"/>
        <w:spacing w:lineRule="auto" w:line="240" w:before="0" w:after="0"/>
        <w:jc w:val="both"/>
        <w:rPr>
          <w:b/>
          <w:b/>
          <w:sz w:val="20"/>
          <w:szCs w:val="20"/>
        </w:rPr>
      </w:pPr>
      <w:r>
        <w:rPr>
          <w:b/>
          <w:sz w:val="20"/>
          <w:szCs w:val="20"/>
        </w:rPr>
      </w:r>
    </w:p>
    <w:p>
      <w:pPr>
        <w:pStyle w:val="Normal"/>
        <w:shd w:val="clear" w:color="auto" w:fill="FFFFFF" w:themeFill="background1"/>
        <w:spacing w:lineRule="auto" w:line="240" w:before="0" w:after="0"/>
        <w:jc w:val="both"/>
        <w:rPr>
          <w:b/>
          <w:b/>
          <w:sz w:val="20"/>
          <w:szCs w:val="20"/>
        </w:rPr>
      </w:pPr>
      <w:r>
        <w:rPr>
          <w:b/>
          <w:sz w:val="20"/>
          <w:szCs w:val="20"/>
        </w:rPr>
        <w:t xml:space="preserve">14. </w:t>
      </w:r>
      <w:r>
        <w:rPr>
          <w:b/>
          <w:sz w:val="20"/>
          <w:szCs w:val="20"/>
          <w:u w:val="single"/>
        </w:rPr>
        <w:t>IRREGULARMENTE SE DA COMO VÁLIDO EL INFORME DEL INAGA DONDE DICE QUE LA INTEGRIDAD DE UN LIC NO QUEDA COMPROMETIDA AL SER LA AFECCIÓN INFERIOR AL 10% DE LA SUPERFICIE DEL LIC OBVIANDO QUE EL LÍMITE SE SITÚA EN EL 1%</w:t>
      </w:r>
    </w:p>
    <w:p>
      <w:pPr>
        <w:pStyle w:val="Normal"/>
        <w:shd w:val="clear" w:color="auto" w:fill="FFFFFF" w:themeFill="background1"/>
        <w:spacing w:lineRule="auto" w:line="240" w:before="0" w:after="0"/>
        <w:jc w:val="both"/>
        <w:rPr>
          <w:b/>
          <w:b/>
          <w:sz w:val="8"/>
          <w:szCs w:val="8"/>
        </w:rPr>
      </w:pPr>
      <w:r>
        <w:rPr>
          <w:b/>
          <w:sz w:val="8"/>
          <w:szCs w:val="8"/>
        </w:rPr>
      </w:r>
    </w:p>
    <w:p>
      <w:pPr>
        <w:pStyle w:val="Normal"/>
        <w:shd w:val="clear" w:color="auto" w:fill="FFFFFF" w:themeFill="background1"/>
        <w:spacing w:lineRule="auto" w:line="240" w:before="0" w:after="0"/>
        <w:jc w:val="both"/>
        <w:rPr>
          <w:b/>
          <w:b/>
          <w:sz w:val="20"/>
          <w:szCs w:val="20"/>
        </w:rPr>
      </w:pPr>
      <w:r>
        <w:rPr>
          <w:b/>
          <w:sz w:val="20"/>
          <w:szCs w:val="20"/>
        </w:rPr>
        <w:t>14.1. Dice el Informe del INAGA de 29 de junio de 2021:</w:t>
      </w:r>
    </w:p>
    <w:p>
      <w:pPr>
        <w:pStyle w:val="Normal"/>
        <w:shd w:val="clear" w:color="auto" w:fill="FFFFFF" w:themeFill="background1"/>
        <w:spacing w:lineRule="auto" w:line="240" w:before="0" w:after="0"/>
        <w:jc w:val="both"/>
        <w:rPr>
          <w:b/>
          <w:b/>
          <w:sz w:val="8"/>
          <w:szCs w:val="8"/>
        </w:rPr>
      </w:pPr>
      <w:r>
        <w:rPr>
          <w:b/>
          <w:sz w:val="8"/>
          <w:szCs w:val="8"/>
        </w:rPr>
      </w:r>
    </w:p>
    <w:p>
      <w:pPr>
        <w:pStyle w:val="Normal"/>
        <w:spacing w:lineRule="auto" w:line="240" w:before="0" w:after="0"/>
        <w:ind w:left="708" w:hanging="0"/>
        <w:jc w:val="both"/>
        <w:rPr>
          <w:rFonts w:cs="Helvetica"/>
          <w:b/>
          <w:b/>
          <w:i/>
          <w:i/>
          <w:sz w:val="20"/>
          <w:szCs w:val="20"/>
        </w:rPr>
      </w:pPr>
      <w:r>
        <w:rPr>
          <w:rFonts w:cs="Helvetica"/>
          <w:b/>
          <w:i/>
          <w:sz w:val="20"/>
          <w:szCs w:val="20"/>
        </w:rPr>
        <w:t>“</w:t>
      </w:r>
      <w:r>
        <w:rPr>
          <w:rFonts w:cs="Helvetica"/>
          <w:b/>
          <w:i/>
          <w:sz w:val="20"/>
          <w:szCs w:val="20"/>
        </w:rPr>
        <w:t>En base a la guía metodológica utilizada y al análisis realizado en el Estudio de impacto ambiental, se puede concluir que no queda comprometida la integridad de los LIC/ZEC analizados al ser las afecciones relativas de cada uno de los hábitats inferiores al 10 %. En referencia concreta al LIC/ZEC Rambla de las Truchas, el proyecto, en conjunto, supone la afección del 8,62 % de la totalidad de hábitat 4090.</w:t>
      </w:r>
    </w:p>
    <w:p>
      <w:pPr>
        <w:pStyle w:val="Normal"/>
        <w:spacing w:lineRule="auto" w:line="240" w:before="0" w:after="0"/>
        <w:ind w:left="708" w:hanging="0"/>
        <w:jc w:val="both"/>
        <w:rPr>
          <w:rFonts w:cs="Helvetica"/>
          <w:b/>
          <w:b/>
          <w:i/>
          <w:i/>
          <w:sz w:val="8"/>
          <w:szCs w:val="8"/>
        </w:rPr>
      </w:pPr>
      <w:r>
        <w:rPr>
          <w:rFonts w:cs="Helvetica"/>
          <w:b/>
          <w:i/>
          <w:sz w:val="8"/>
          <w:szCs w:val="8"/>
        </w:rPr>
      </w:r>
    </w:p>
    <w:p>
      <w:pPr>
        <w:pStyle w:val="Normal"/>
        <w:spacing w:lineRule="auto" w:line="240" w:before="0" w:after="0"/>
        <w:rPr>
          <w:b/>
          <w:b/>
          <w:sz w:val="20"/>
          <w:szCs w:val="20"/>
        </w:rPr>
      </w:pPr>
      <w:hyperlink r:id="rId14">
        <w:r>
          <w:rPr>
            <w:rStyle w:val="EnlacedeInternet"/>
            <w:b/>
            <w:color w:val="auto"/>
            <w:sz w:val="20"/>
            <w:szCs w:val="20"/>
          </w:rPr>
          <w:t>https://drive.google.com/file/d/1Yd7w2she0zhmDKHRV-qRgv9WmuiG7s35/view?usp=share_link</w:t>
        </w:r>
      </w:hyperlink>
    </w:p>
    <w:p>
      <w:pPr>
        <w:pStyle w:val="Normal"/>
        <w:shd w:val="clear" w:color="auto" w:fill="FFFFFF" w:themeFill="background1"/>
        <w:spacing w:lineRule="auto" w:line="240" w:before="0" w:after="0"/>
        <w:jc w:val="both"/>
        <w:rPr>
          <w:b/>
          <w:b/>
          <w:sz w:val="20"/>
          <w:szCs w:val="20"/>
        </w:rPr>
      </w:pPr>
      <w:r>
        <w:rPr>
          <w:b/>
          <w:sz w:val="20"/>
          <w:szCs w:val="20"/>
        </w:rPr>
      </w:r>
    </w:p>
    <w:p>
      <w:pPr>
        <w:pStyle w:val="Normal"/>
        <w:shd w:val="clear" w:color="auto" w:fill="FFFFFF" w:themeFill="background1"/>
        <w:spacing w:lineRule="auto" w:line="240" w:before="0" w:after="0"/>
        <w:jc w:val="both"/>
        <w:rPr>
          <w:b/>
          <w:b/>
          <w:sz w:val="20"/>
          <w:szCs w:val="20"/>
        </w:rPr>
      </w:pPr>
      <w:r>
        <w:rPr>
          <w:b/>
          <w:sz w:val="20"/>
          <w:szCs w:val="20"/>
        </w:rPr>
        <w:t>14.2. La Subdirección General de Biodiversidad y Medio Natural elaboró una “Guía metodológica de evaluación de impacto ambiental en Red Natura 2000” donde determina que a partir del 1% ya existe perjuicio a la integridad:</w:t>
      </w:r>
    </w:p>
    <w:p>
      <w:pPr>
        <w:pStyle w:val="Normal"/>
        <w:shd w:val="clear" w:color="auto" w:fill="FFFFFF" w:themeFill="background1"/>
        <w:spacing w:lineRule="auto" w:line="240" w:before="0" w:after="0"/>
        <w:jc w:val="both"/>
        <w:rPr>
          <w:b/>
          <w:b/>
          <w:sz w:val="8"/>
          <w:szCs w:val="8"/>
        </w:rPr>
      </w:pPr>
      <w:r>
        <w:rPr>
          <w:b/>
          <w:sz w:val="8"/>
          <w:szCs w:val="8"/>
        </w:rPr>
      </w:r>
    </w:p>
    <w:p>
      <w:pPr>
        <w:pStyle w:val="Normal"/>
        <w:shd w:val="clear" w:color="auto" w:fill="FFFFFF" w:themeFill="background1"/>
        <w:spacing w:lineRule="auto" w:line="240" w:before="0" w:after="0"/>
        <w:ind w:left="708" w:hanging="0"/>
        <w:jc w:val="both"/>
        <w:rPr>
          <w:b/>
          <w:b/>
          <w:i/>
          <w:i/>
          <w:sz w:val="20"/>
          <w:szCs w:val="20"/>
        </w:rPr>
      </w:pPr>
      <w:r>
        <w:rPr>
          <w:b/>
          <w:i/>
          <w:sz w:val="20"/>
          <w:szCs w:val="20"/>
        </w:rPr>
        <w:t>“</w:t>
      </w:r>
      <w:r>
        <w:rPr>
          <w:b/>
          <w:i/>
          <w:sz w:val="20"/>
          <w:szCs w:val="20"/>
        </w:rPr>
        <w:t>El análisis de sentencias dictadas por el Tribunal de Justicia de la Unión Europea (TJUE) y dictámenes de la CE, en casos que conllevan pérdida de superficie del hábitat y ésta ha sido cuantificada, en relación al cumplimiento del artículo 6 de la Directiva Hábitat, evidencia que estas instituciones consideran que existe perjuicio a la integridad del lugar cuando la pérdida de superficie del hábitat de interés comunitario situado en el LIC se sitúa en torno al 1% en relación al área total del mismo HIC en el LIC o ZEC”.</w:t>
      </w:r>
    </w:p>
    <w:p>
      <w:pPr>
        <w:pStyle w:val="Normal"/>
        <w:shd w:val="clear" w:color="auto" w:fill="FFFFFF" w:themeFill="background1"/>
        <w:spacing w:lineRule="auto" w:line="240" w:before="0" w:after="0"/>
        <w:ind w:left="708" w:hanging="0"/>
        <w:jc w:val="both"/>
        <w:rPr>
          <w:b/>
          <w:b/>
          <w:i/>
          <w:i/>
          <w:sz w:val="8"/>
          <w:szCs w:val="8"/>
        </w:rPr>
      </w:pPr>
      <w:r>
        <w:rPr>
          <w:b/>
          <w:i/>
          <w:sz w:val="8"/>
          <w:szCs w:val="8"/>
        </w:rPr>
      </w:r>
    </w:p>
    <w:p>
      <w:pPr>
        <w:pStyle w:val="Normal"/>
        <w:shd w:val="clear" w:color="auto" w:fill="FFFFFF" w:themeFill="background1"/>
        <w:spacing w:lineRule="auto" w:line="240" w:before="0" w:after="0"/>
        <w:jc w:val="both"/>
        <w:rPr>
          <w:b/>
          <w:b/>
          <w:sz w:val="20"/>
          <w:szCs w:val="20"/>
        </w:rPr>
      </w:pPr>
      <w:hyperlink r:id="rId15">
        <w:r>
          <w:rPr>
            <w:rStyle w:val="EnlacedeInternet"/>
            <w:b/>
            <w:color w:val="auto"/>
            <w:sz w:val="20"/>
            <w:szCs w:val="20"/>
          </w:rPr>
          <w:t>https://drive.google.com/file/d/1STPgTGR7hj_4F_bS1HXeyr-DMzZcFAKG/view?usp=share_link</w:t>
        </w:r>
      </w:hyperlink>
    </w:p>
    <w:p>
      <w:pPr>
        <w:pStyle w:val="Normal"/>
        <w:spacing w:lineRule="auto" w:line="240" w:before="0" w:after="0"/>
        <w:jc w:val="both"/>
        <w:rPr>
          <w:rFonts w:eastAsia="DejaVuSans-Bold" w:cs="DejaVuSans-Bold"/>
          <w:b/>
          <w:b/>
          <w:bCs/>
          <w:sz w:val="20"/>
          <w:szCs w:val="20"/>
        </w:rPr>
      </w:pPr>
      <w:r>
        <w:rPr>
          <w:rFonts w:eastAsia="DejaVuSans-Bold" w:cs="DejaVuSans-Bold"/>
          <w:b/>
          <w:bCs/>
          <w:sz w:val="20"/>
          <w:szCs w:val="20"/>
        </w:rPr>
      </w:r>
    </w:p>
    <w:p>
      <w:pPr>
        <w:pStyle w:val="Normal"/>
        <w:shd w:val="clear" w:color="auto" w:fill="FFFFFF" w:themeFill="background1"/>
        <w:spacing w:lineRule="auto" w:line="240" w:before="0" w:after="0"/>
        <w:jc w:val="both"/>
        <w:rPr>
          <w:rFonts w:eastAsia="Times New Roman" w:cs="Times New Roman"/>
          <w:b/>
          <w:b/>
          <w:bCs/>
          <w:sz w:val="24"/>
          <w:szCs w:val="24"/>
          <w:lang w:eastAsia="es-ES"/>
        </w:rPr>
      </w:pPr>
      <w:r>
        <w:rPr>
          <w:rFonts w:eastAsia="Times New Roman" w:cs="Times New Roman"/>
          <w:b/>
          <w:bCs/>
          <w:sz w:val="20"/>
          <w:szCs w:val="20"/>
          <w:lang w:eastAsia="es-ES"/>
        </w:rPr>
        <w:t>15.</w:t>
      </w:r>
      <w:r>
        <w:rPr>
          <w:rFonts w:eastAsia="Times New Roman" w:cs="Times New Roman"/>
          <w:b/>
          <w:bCs/>
          <w:sz w:val="24"/>
          <w:szCs w:val="24"/>
          <w:lang w:eastAsia="es-ES"/>
        </w:rPr>
        <w:t xml:space="preserve"> </w:t>
      </w:r>
      <w:r>
        <w:rPr>
          <w:b/>
          <w:sz w:val="20"/>
          <w:szCs w:val="20"/>
          <w:u w:val="single"/>
        </w:rPr>
        <w:t>SE FORMULA DECLARACIÓN DE IMPACTO AMBIENTAL FAVORABLE PARA UNA LÍNEA DE ALTA TENSIÓN QUE ATRAVIESA UNA ZEPA A LO LARGO DE 10 KM DE SU TRAZADO, QUE SERÁ LA QUE TRANSPORTE LA ENERGÍA PRODUCIDA EN ESTA CENTRAL HASTA MORELLA.</w:t>
      </w:r>
    </w:p>
    <w:p>
      <w:pPr>
        <w:pStyle w:val="Default"/>
        <w:jc w:val="both"/>
        <w:rPr>
          <w:rFonts w:ascii="Calibri" w:hAnsi="Calibri" w:cs="Tahoma" w:asciiTheme="minorHAnsi" w:hAnsiTheme="minorHAnsi"/>
          <w:b/>
          <w:b/>
          <w:color w:val="auto"/>
          <w:sz w:val="8"/>
          <w:szCs w:val="8"/>
        </w:rPr>
      </w:pPr>
      <w:r>
        <w:rPr>
          <w:rFonts w:cs="Tahoma" w:ascii="Calibri" w:hAnsi="Calibri"/>
          <w:b/>
          <w:color w:val="auto"/>
          <w:sz w:val="8"/>
          <w:szCs w:val="8"/>
        </w:rPr>
      </w:r>
    </w:p>
    <w:p>
      <w:pPr>
        <w:pStyle w:val="Normal"/>
        <w:spacing w:lineRule="auto" w:line="240" w:before="0" w:after="0"/>
        <w:jc w:val="both"/>
        <w:rPr>
          <w:rFonts w:cs="Arial"/>
          <w:b/>
          <w:b/>
          <w:sz w:val="20"/>
          <w:szCs w:val="20"/>
        </w:rPr>
      </w:pPr>
      <w:r>
        <w:rPr>
          <w:rFonts w:cs="Tahoma"/>
          <w:b/>
          <w:sz w:val="20"/>
          <w:szCs w:val="20"/>
        </w:rPr>
        <w:t xml:space="preserve">15.1. </w:t>
      </w:r>
      <w:r>
        <w:rPr>
          <w:rFonts w:cs="Arial"/>
          <w:b/>
          <w:sz w:val="20"/>
          <w:szCs w:val="20"/>
        </w:rPr>
        <w:t>Dice la DIA de la LAAT:</w:t>
      </w:r>
    </w:p>
    <w:p>
      <w:pPr>
        <w:pStyle w:val="Normal"/>
        <w:spacing w:lineRule="auto" w:line="240" w:before="0" w:after="0"/>
        <w:ind w:left="708" w:hanging="0"/>
        <w:jc w:val="both"/>
        <w:rPr>
          <w:rFonts w:cs="Arial"/>
          <w:b/>
          <w:b/>
          <w:sz w:val="8"/>
          <w:szCs w:val="8"/>
        </w:rPr>
      </w:pPr>
      <w:r>
        <w:rPr>
          <w:rFonts w:cs="Arial"/>
          <w:b/>
          <w:sz w:val="8"/>
          <w:szCs w:val="8"/>
        </w:rPr>
      </w:r>
    </w:p>
    <w:p>
      <w:pPr>
        <w:pStyle w:val="Normal"/>
        <w:spacing w:lineRule="auto" w:line="240" w:before="0" w:after="0"/>
        <w:ind w:left="708" w:hanging="0"/>
        <w:jc w:val="both"/>
        <w:rPr>
          <w:rFonts w:cs="Arial"/>
          <w:b/>
          <w:b/>
          <w:i/>
          <w:i/>
          <w:sz w:val="20"/>
          <w:szCs w:val="20"/>
        </w:rPr>
      </w:pPr>
      <w:r>
        <w:rPr>
          <w:rFonts w:cs="Arial"/>
          <w:b/>
          <w:i/>
          <w:sz w:val="20"/>
          <w:szCs w:val="20"/>
        </w:rPr>
        <w:t>“</w:t>
      </w:r>
      <w:r>
        <w:rPr>
          <w:rFonts w:cs="Arial"/>
          <w:b/>
          <w:i/>
          <w:sz w:val="20"/>
          <w:szCs w:val="20"/>
        </w:rPr>
        <w:t>-En cuanto a las líneas de evacuación, la LAAT 400Kv SET Iglesuela - SET Morella atraviesa la ZEPA L’Alt Maestrat en un recorrido de 10 km, en paralelo con la LAAT Renomar, ya existente en la actualidad”.</w:t>
      </w:r>
    </w:p>
    <w:p>
      <w:pPr>
        <w:pStyle w:val="Normal"/>
        <w:spacing w:lineRule="auto" w:line="240" w:before="0" w:after="0"/>
        <w:ind w:left="708" w:hanging="0"/>
        <w:jc w:val="both"/>
        <w:rPr>
          <w:rFonts w:cs="Arial"/>
          <w:b/>
          <w:b/>
          <w:i/>
          <w:i/>
          <w:sz w:val="20"/>
          <w:szCs w:val="20"/>
        </w:rPr>
      </w:pPr>
      <w:r>
        <w:rPr>
          <w:rFonts w:cs="Arial"/>
          <w:b/>
          <w:i/>
          <w:sz w:val="20"/>
          <w:szCs w:val="20"/>
        </w:rPr>
      </w:r>
    </w:p>
    <w:p>
      <w:pPr>
        <w:pStyle w:val="Normal"/>
        <w:spacing w:lineRule="auto" w:line="240" w:before="0" w:after="0"/>
        <w:jc w:val="both"/>
        <w:rPr>
          <w:rFonts w:cs="Tahoma"/>
          <w:b/>
          <w:b/>
        </w:rPr>
      </w:pPr>
      <w:r>
        <w:rPr>
          <w:rFonts w:cs="Tahoma"/>
          <w:b/>
          <w:sz w:val="20"/>
          <w:szCs w:val="20"/>
        </w:rPr>
        <w:t>15.2.</w:t>
      </w:r>
      <w:r>
        <w:rPr>
          <w:rFonts w:cs="Tahoma"/>
          <w:b/>
          <w:sz w:val="24"/>
          <w:szCs w:val="24"/>
        </w:rPr>
        <w:t xml:space="preserve"> </w:t>
      </w:r>
      <w:r>
        <w:rPr>
          <w:rFonts w:cs="Tahoma"/>
          <w:b/>
          <w:sz w:val="20"/>
          <w:szCs w:val="20"/>
        </w:rPr>
        <w:t>La importancia ornitológica de las ZEPAs es grande. Dice el estudio de avifauna del EsIA:</w:t>
      </w:r>
    </w:p>
    <w:p>
      <w:pPr>
        <w:pStyle w:val="Normal"/>
        <w:spacing w:lineRule="auto" w:line="240" w:before="0" w:after="0"/>
        <w:jc w:val="both"/>
        <w:rPr>
          <w:sz w:val="8"/>
          <w:szCs w:val="8"/>
        </w:rPr>
      </w:pPr>
      <w:r>
        <w:rPr>
          <w:sz w:val="8"/>
          <w:szCs w:val="8"/>
        </w:rPr>
      </w:r>
    </w:p>
    <w:p>
      <w:pPr>
        <w:pStyle w:val="Normal"/>
        <w:spacing w:lineRule="auto" w:line="240" w:before="0" w:after="0"/>
        <w:ind w:left="708" w:hanging="0"/>
        <w:jc w:val="both"/>
        <w:rPr>
          <w:rFonts w:cs="Tahoma"/>
          <w:b/>
          <w:b/>
          <w:i/>
          <w:i/>
          <w:sz w:val="20"/>
          <w:szCs w:val="20"/>
        </w:rPr>
      </w:pPr>
      <w:r>
        <w:rPr>
          <w:b/>
          <w:i/>
          <w:sz w:val="20"/>
          <w:szCs w:val="20"/>
        </w:rPr>
        <w:t>“</w:t>
      </w:r>
      <w:r>
        <w:rPr>
          <w:b/>
          <w:i/>
          <w:sz w:val="20"/>
          <w:szCs w:val="20"/>
        </w:rPr>
        <w:t>Las líneas de evacuación propuestas discurren entre la ZEPA ES0000306 - Río Guadalope-Maestrazgo y la ZEPA ES0000466 - Penyagolosa, que albergan una de las poblaciones de buitre leonado más importante de la Península Ibérica, y buenas poblaciones de alimoche, águila real y halcón peregrino, así como algunos territorios de águila azor perdicera a los que se añade alguno abandonado recientemente”.</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Default"/>
        <w:jc w:val="both"/>
        <w:rPr>
          <w:rFonts w:ascii="Calibri" w:hAnsi="Calibri" w:asciiTheme="minorHAnsi" w:hAnsiTheme="minorHAnsi"/>
          <w:b/>
          <w:b/>
          <w:color w:val="auto"/>
          <w:sz w:val="20"/>
          <w:szCs w:val="20"/>
        </w:rPr>
      </w:pPr>
      <w:r>
        <w:rPr>
          <w:rFonts w:ascii="Calibri" w:hAnsi="Calibri" w:asciiTheme="minorHAnsi" w:hAnsiTheme="minorHAnsi"/>
          <w:b/>
          <w:color w:val="auto"/>
          <w:sz w:val="20"/>
          <w:szCs w:val="20"/>
        </w:rPr>
        <w:t>15.3. Se ha despreciado el Informe Subdirección General de Medio Natural y Evaluación Ambiental de la Generalitat valenciana y se ha autorizado la ocupación de la ZEPA por la línea. En la DIA se dice:</w:t>
      </w:r>
    </w:p>
    <w:p>
      <w:pPr>
        <w:pStyle w:val="Default"/>
        <w:jc w:val="both"/>
        <w:rPr>
          <w:rFonts w:ascii="Calibri" w:hAnsi="Calibri" w:asciiTheme="minorHAnsi" w:hAnsiTheme="minorHAnsi"/>
          <w:b/>
          <w:b/>
          <w:color w:val="auto"/>
          <w:sz w:val="8"/>
          <w:szCs w:val="8"/>
        </w:rPr>
      </w:pPr>
      <w:r>
        <w:rPr>
          <w:rFonts w:asciiTheme="minorHAnsi" w:hAnsiTheme="minorHAnsi" w:ascii="Calibri" w:hAnsi="Calibri"/>
          <w:b/>
          <w:color w:val="auto"/>
          <w:sz w:val="8"/>
          <w:szCs w:val="8"/>
        </w:rPr>
      </w:r>
    </w:p>
    <w:p>
      <w:pPr>
        <w:pStyle w:val="Default"/>
        <w:ind w:left="708" w:hanging="0"/>
        <w:jc w:val="both"/>
        <w:rPr>
          <w:rFonts w:ascii="Calibri" w:hAnsi="Calibri" w:asciiTheme="minorHAnsi" w:hAnsiTheme="minorHAnsi"/>
          <w:b/>
          <w:b/>
          <w:i/>
          <w:i/>
          <w:color w:val="auto"/>
          <w:sz w:val="20"/>
          <w:szCs w:val="20"/>
        </w:rPr>
      </w:pPr>
      <w:r>
        <w:rPr>
          <w:rFonts w:ascii="Calibri" w:hAnsi="Calibri" w:asciiTheme="minorHAnsi" w:hAnsiTheme="minorHAnsi"/>
          <w:b/>
          <w:i/>
          <w:color w:val="auto"/>
          <w:sz w:val="20"/>
          <w:szCs w:val="20"/>
        </w:rPr>
        <w:t>“</w:t>
      </w:r>
      <w:r>
        <w:rPr>
          <w:rFonts w:ascii="Calibri" w:hAnsi="Calibri" w:asciiTheme="minorHAnsi" w:hAnsiTheme="minorHAnsi"/>
          <w:b/>
          <w:i/>
          <w:color w:val="auto"/>
          <w:sz w:val="20"/>
          <w:szCs w:val="20"/>
        </w:rPr>
        <w:t xml:space="preserve">En su informe de 3 de diciembre de 2021, la Subdirección General de Medio Natural y Evaluación Ambiental de la Generalitat valenciana indica las especies de fauna que podrían verse afectadas por las dos alternativas de trazado de la LAAT 400Kv SET La Iglesuela- SET Morella, señalando como principal impacto potencial el riesgo de colisión contra el tendido eléctrico y un incremento en este riesgo, que se acumularía al de las líneas ya existentes, solicitando </w:t>
      </w:r>
      <w:r>
        <w:rPr>
          <w:rFonts w:ascii="Calibri" w:hAnsi="Calibri" w:asciiTheme="minorHAnsi" w:hAnsiTheme="minorHAnsi"/>
          <w:b/>
          <w:i/>
          <w:color w:val="auto"/>
          <w:sz w:val="20"/>
          <w:szCs w:val="20"/>
          <w:u w:val="single"/>
        </w:rPr>
        <w:t>que se estudien alternativas que no discurran por el interior de espacios de la Red Natura 2000</w:t>
      </w:r>
      <w:r>
        <w:rPr>
          <w:rFonts w:ascii="Calibri" w:hAnsi="Calibri" w:asciiTheme="minorHAnsi" w:hAnsiTheme="minorHAnsi"/>
          <w:b/>
          <w:i/>
          <w:color w:val="auto"/>
          <w:sz w:val="20"/>
          <w:szCs w:val="20"/>
        </w:rPr>
        <w:t>”.</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Default"/>
        <w:jc w:val="both"/>
        <w:rPr>
          <w:rFonts w:ascii="Calibri" w:hAnsi="Calibri" w:asciiTheme="minorHAnsi" w:hAnsiTheme="minorHAnsi"/>
          <w:b/>
          <w:b/>
          <w:color w:val="auto"/>
          <w:sz w:val="20"/>
          <w:szCs w:val="20"/>
        </w:rPr>
      </w:pPr>
      <w:r>
        <w:rPr>
          <w:rFonts w:ascii="Calibri" w:hAnsi="Calibri" w:asciiTheme="minorHAnsi" w:hAnsiTheme="minorHAnsi"/>
          <w:b/>
          <w:color w:val="auto"/>
          <w:sz w:val="20"/>
          <w:szCs w:val="20"/>
        </w:rPr>
        <w:t>15.4. Se ha despreciado el Informe presentado en Consultas Previas por la Dirección General de Medio Natural y de Evaluación Ambiental de la Comunidad Valenciana.</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Default"/>
        <w:jc w:val="both"/>
        <w:rPr>
          <w:rFonts w:ascii="Calibri" w:hAnsi="Calibri" w:asciiTheme="minorHAnsi" w:hAnsiTheme="minorHAnsi"/>
          <w:b/>
          <w:b/>
          <w:color w:val="auto"/>
          <w:sz w:val="20"/>
          <w:szCs w:val="20"/>
        </w:rPr>
      </w:pPr>
      <w:r>
        <w:rPr>
          <w:rFonts w:ascii="Calibri" w:hAnsi="Calibri" w:asciiTheme="minorHAnsi" w:hAnsiTheme="minorHAnsi"/>
          <w:b/>
          <w:color w:val="auto"/>
          <w:sz w:val="20"/>
          <w:szCs w:val="20"/>
        </w:rPr>
        <w:t>El 7 de noviembre de 2018 la Dirección General de Medio Natural y de Evaluación Ambiental de la Comunidad Valenciana emitió un Informe sobre la línea en el siguiente sentido:</w:t>
      </w:r>
    </w:p>
    <w:p>
      <w:pPr>
        <w:pStyle w:val="Default"/>
        <w:jc w:val="both"/>
        <w:rPr>
          <w:rFonts w:ascii="Calibri" w:hAnsi="Calibri" w:asciiTheme="minorHAnsi" w:hAnsiTheme="minorHAnsi"/>
          <w:b/>
          <w:b/>
          <w:color w:val="auto"/>
          <w:sz w:val="8"/>
          <w:szCs w:val="8"/>
        </w:rPr>
      </w:pPr>
      <w:r>
        <w:rPr>
          <w:rFonts w:asciiTheme="minorHAnsi" w:hAnsiTheme="minorHAnsi" w:ascii="Calibri" w:hAnsi="Calibri"/>
          <w:b/>
          <w:color w:val="auto"/>
          <w:sz w:val="8"/>
          <w:szCs w:val="8"/>
        </w:rPr>
      </w:r>
    </w:p>
    <w:p>
      <w:pPr>
        <w:pStyle w:val="Normal"/>
        <w:spacing w:lineRule="auto" w:line="240" w:before="0" w:after="0"/>
        <w:ind w:left="708" w:hanging="0"/>
        <w:jc w:val="both"/>
        <w:rPr>
          <w:rFonts w:cs="ArialMT"/>
          <w:b/>
          <w:b/>
          <w:i/>
          <w:i/>
          <w:sz w:val="20"/>
          <w:szCs w:val="20"/>
        </w:rPr>
      </w:pPr>
      <w:r>
        <w:rPr>
          <w:rFonts w:cs="ArialMT"/>
          <w:b/>
          <w:i/>
          <w:sz w:val="20"/>
          <w:szCs w:val="20"/>
        </w:rPr>
        <w:t>“</w:t>
      </w:r>
      <w:r>
        <w:rPr>
          <w:rFonts w:cs="ArialMT"/>
          <w:b/>
          <w:i/>
          <w:sz w:val="20"/>
          <w:szCs w:val="20"/>
        </w:rPr>
        <w:t>En ningún caso se considera aceptable la ejecución de nuevas líneas de conexión de los parques previstos en la provincia de Teruel en cualquiera de las alternativas planteadas ni de cualquier otra que conecte con la subestación de Morella y en especial una línea de 400 Kv, tanto por las características de la línea como por la sensibilidad de las áreas que atravesará”.</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NormalWeb"/>
        <w:shd w:val="clear" w:color="auto" w:fill="FFFFFF"/>
        <w:spacing w:beforeAutospacing="0" w:before="0" w:afterAutospacing="0" w:after="0"/>
        <w:jc w:val="both"/>
        <w:rPr>
          <w:rFonts w:ascii="Calibri" w:hAnsi="Calibri" w:cs="Arial" w:asciiTheme="minorHAnsi" w:hAnsiTheme="minorHAnsi"/>
          <w:b/>
          <w:b/>
          <w:sz w:val="20"/>
          <w:szCs w:val="20"/>
          <w:u w:val="single"/>
        </w:rPr>
      </w:pPr>
      <w:r>
        <w:rPr>
          <w:rFonts w:ascii="Calibri" w:hAnsi="Calibri" w:asciiTheme="minorHAnsi" w:hAnsiTheme="minorHAnsi"/>
          <w:b/>
          <w:sz w:val="20"/>
          <w:szCs w:val="20"/>
        </w:rPr>
        <w:t xml:space="preserve">16. </w:t>
      </w:r>
      <w:r>
        <w:rPr>
          <w:rFonts w:ascii="Calibri" w:hAnsi="Calibri" w:asciiTheme="minorHAnsi" w:hAnsiTheme="minorHAnsi"/>
          <w:b/>
          <w:sz w:val="20"/>
          <w:szCs w:val="20"/>
          <w:u w:val="single"/>
        </w:rPr>
        <w:t xml:space="preserve">LA AFECCIÓN A LAS ZEPAS NO DESAPARECE </w:t>
      </w:r>
      <w:r>
        <w:rPr>
          <w:rFonts w:cs="Arial" w:ascii="Calibri" w:hAnsi="Calibri" w:asciiTheme="minorHAnsi" w:hAnsiTheme="minorHAnsi"/>
          <w:b/>
          <w:sz w:val="20"/>
          <w:szCs w:val="20"/>
          <w:u w:val="single"/>
        </w:rPr>
        <w:t>ANULANDO LOS PARQUES EÓLICOS CABECERO I Y CID V</w:t>
      </w:r>
    </w:p>
    <w:p>
      <w:pPr>
        <w:pStyle w:val="NormalWeb"/>
        <w:shd w:val="clear" w:color="auto" w:fill="FFFFFF"/>
        <w:spacing w:beforeAutospacing="0" w:before="0" w:afterAutospacing="0" w:after="0"/>
        <w:jc w:val="both"/>
        <w:rPr>
          <w:rFonts w:ascii="Calibri" w:hAnsi="Calibri" w:cs="Arial" w:asciiTheme="minorHAnsi" w:hAnsiTheme="minorHAnsi"/>
          <w:b/>
          <w:b/>
          <w:sz w:val="8"/>
          <w:szCs w:val="8"/>
          <w:u w:val="single"/>
        </w:rPr>
      </w:pPr>
      <w:r>
        <w:rPr>
          <w:rFonts w:cs="Arial" w:ascii="Calibri" w:hAnsi="Calibri"/>
          <w:b/>
          <w:sz w:val="8"/>
          <w:szCs w:val="8"/>
          <w:u w:val="single"/>
        </w:rPr>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asciiTheme="minorHAnsi" w:hAnsiTheme="minorHAnsi"/>
          <w:b/>
          <w:sz w:val="20"/>
          <w:szCs w:val="20"/>
        </w:rPr>
        <w:t>16.1.</w:t>
      </w:r>
      <w:r>
        <w:rPr>
          <w:rFonts w:cs="Arial" w:ascii="Calibri" w:hAnsi="Calibri" w:asciiTheme="minorHAnsi" w:hAnsiTheme="minorHAnsi"/>
          <w:b/>
        </w:rPr>
        <w:t xml:space="preserve"> </w:t>
      </w:r>
      <w:r>
        <w:rPr>
          <w:rFonts w:cs="Arial" w:ascii="Calibri" w:hAnsi="Calibri" w:asciiTheme="minorHAnsi" w:hAnsiTheme="minorHAnsi"/>
          <w:b/>
          <w:sz w:val="20"/>
          <w:szCs w:val="20"/>
        </w:rPr>
        <w:t>Hay que tener en cuenta que el resto de los parques eólicos y las plantas fotovoltaicas sigue estando muy cerca de las ZEPAs y, por tanto, sus aerogeneradores producen afección a las aves que caracterizan dichas ZEPAs.</w:t>
      </w:r>
    </w:p>
    <w:p>
      <w:pPr>
        <w:pStyle w:val="Normal"/>
        <w:spacing w:lineRule="auto" w:line="240" w:before="0" w:after="0"/>
        <w:jc w:val="both"/>
        <w:rPr>
          <w:b/>
          <w:b/>
          <w:sz w:val="20"/>
          <w:szCs w:val="20"/>
        </w:rPr>
      </w:pPr>
      <w:r>
        <w:rPr>
          <w:b/>
          <w:sz w:val="20"/>
          <w:szCs w:val="20"/>
        </w:rPr>
      </w:r>
    </w:p>
    <w:p>
      <w:pPr>
        <w:pStyle w:val="Normal"/>
        <w:spacing w:lineRule="auto" w:line="240" w:before="0" w:after="0"/>
        <w:jc w:val="both"/>
        <w:rPr>
          <w:b/>
          <w:b/>
          <w:sz w:val="20"/>
          <w:szCs w:val="20"/>
        </w:rPr>
      </w:pPr>
      <w:r>
        <w:rPr>
          <w:b/>
          <w:sz w:val="20"/>
          <w:szCs w:val="20"/>
        </w:rPr>
        <w:t>Aunque los dos parques eólicos más cercanos a las ZEPAs han sido excluidos (Cabecero I y Cid V), esto no quiere decir que no exista afección a las ZEPAS, ya que existen cuatro ZEPAs muy cercanas:</w:t>
      </w:r>
    </w:p>
    <w:p>
      <w:pPr>
        <w:pStyle w:val="NormalWeb"/>
        <w:shd w:val="clear" w:color="auto" w:fill="FFFFFF"/>
        <w:spacing w:beforeAutospacing="0" w:before="0" w:afterAutospacing="0" w:after="0"/>
        <w:jc w:val="both"/>
        <w:rPr>
          <w:rFonts w:ascii="Calibri" w:hAnsi="Calibri" w:eastAsia="Calibri" w:cs="Arial" w:asciiTheme="minorHAnsi" w:hAnsiTheme="minorHAnsi"/>
          <w:b/>
          <w:b/>
          <w:sz w:val="8"/>
          <w:szCs w:val="8"/>
        </w:rPr>
      </w:pPr>
      <w:r>
        <w:rPr>
          <w:rFonts w:eastAsia="Calibri" w:cs="Arial" w:ascii="Calibri" w:hAnsi="Calibri"/>
          <w:b/>
          <w:sz w:val="8"/>
          <w:szCs w:val="8"/>
        </w:rPr>
      </w:r>
    </w:p>
    <w:p>
      <w:pPr>
        <w:pStyle w:val="Normal"/>
        <w:spacing w:lineRule="auto" w:line="240" w:before="0" w:after="0"/>
        <w:ind w:left="708" w:hanging="0"/>
        <w:jc w:val="both"/>
        <w:rPr>
          <w:rFonts w:cs="Arial"/>
          <w:b/>
          <w:b/>
          <w:sz w:val="20"/>
          <w:szCs w:val="20"/>
        </w:rPr>
      </w:pPr>
      <w:r>
        <w:rPr>
          <w:rFonts w:cs="Arial"/>
          <w:b/>
          <w:sz w:val="20"/>
          <w:szCs w:val="20"/>
        </w:rPr>
        <w:t>-Río Guadalope –Maestrazgo ES0000306</w:t>
      </w:r>
    </w:p>
    <w:p>
      <w:pPr>
        <w:pStyle w:val="Normal"/>
        <w:spacing w:lineRule="auto" w:line="240" w:before="0" w:after="0"/>
        <w:ind w:left="708" w:hanging="0"/>
        <w:jc w:val="both"/>
        <w:rPr>
          <w:rFonts w:cs="Arial"/>
          <w:b/>
          <w:b/>
          <w:sz w:val="20"/>
          <w:szCs w:val="20"/>
        </w:rPr>
      </w:pPr>
      <w:r>
        <w:rPr>
          <w:rFonts w:cs="Arial"/>
          <w:b/>
          <w:sz w:val="20"/>
          <w:szCs w:val="20"/>
        </w:rPr>
        <w:t>-Puertos de Beceite. ES0000307</w:t>
      </w:r>
    </w:p>
    <w:p>
      <w:pPr>
        <w:pStyle w:val="Normal"/>
        <w:spacing w:lineRule="auto" w:line="240" w:before="0" w:after="0"/>
        <w:ind w:left="708" w:hanging="0"/>
        <w:jc w:val="both"/>
        <w:rPr>
          <w:rFonts w:cs="Arial"/>
          <w:b/>
          <w:b/>
          <w:sz w:val="20"/>
          <w:szCs w:val="20"/>
        </w:rPr>
      </w:pPr>
      <w:r>
        <w:rPr>
          <w:rFonts w:cs="Arial"/>
          <w:b/>
          <w:sz w:val="20"/>
          <w:szCs w:val="20"/>
        </w:rPr>
        <w:t>-L'Alt Maestrat, la Tinença de Benifassá, el Turmell i Vallivana ES0000465</w:t>
      </w:r>
    </w:p>
    <w:p>
      <w:pPr>
        <w:pStyle w:val="Normal"/>
        <w:spacing w:lineRule="auto" w:line="240" w:before="0" w:after="0"/>
        <w:ind w:left="708" w:hanging="0"/>
        <w:jc w:val="both"/>
        <w:rPr>
          <w:rFonts w:cs="Arial"/>
          <w:b/>
          <w:b/>
          <w:sz w:val="20"/>
          <w:szCs w:val="20"/>
        </w:rPr>
      </w:pPr>
      <w:r>
        <w:rPr>
          <w:rFonts w:cs="Arial"/>
          <w:b/>
          <w:sz w:val="20"/>
          <w:szCs w:val="20"/>
        </w:rPr>
        <w:t>-Penyagolosa ES0000466</w:t>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b/>
          <w:sz w:val="20"/>
          <w:szCs w:val="20"/>
        </w:rPr>
      </w:r>
    </w:p>
    <w:p>
      <w:pPr>
        <w:pStyle w:val="Default"/>
        <w:jc w:val="both"/>
        <w:rPr>
          <w:rFonts w:ascii="Calibri" w:hAnsi="Calibri" w:asciiTheme="minorHAnsi" w:hAnsiTheme="minorHAnsi"/>
          <w:b/>
          <w:b/>
          <w:bCs/>
          <w:color w:val="auto"/>
          <w:sz w:val="20"/>
          <w:szCs w:val="20"/>
        </w:rPr>
      </w:pPr>
      <w:r>
        <w:rPr>
          <w:rFonts w:ascii="Calibri" w:hAnsi="Calibri" w:asciiTheme="minorHAnsi" w:hAnsiTheme="minorHAnsi"/>
          <w:b/>
          <w:bCs/>
          <w:color w:val="auto"/>
          <w:sz w:val="20"/>
          <w:szCs w:val="20"/>
        </w:rPr>
        <w:t>Además “las áreas de influencia (500 metros contados desde el límite de la poligonal) de los parques Cid 2 y Cid 3 también se solapan parcialmente con la ZEPA ES0000306 - Río Guadalope Maestrazgo”.</w:t>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b/>
          <w:sz w:val="20"/>
          <w:szCs w:val="20"/>
        </w:rPr>
      </w:r>
    </w:p>
    <w:p>
      <w:pPr>
        <w:pStyle w:val="Default"/>
        <w:jc w:val="both"/>
        <w:rPr>
          <w:rFonts w:ascii="Calibri" w:hAnsi="Calibri" w:asciiTheme="minorHAnsi" w:hAnsiTheme="minorHAnsi"/>
          <w:b/>
          <w:b/>
          <w:color w:val="auto"/>
          <w:sz w:val="20"/>
          <w:szCs w:val="20"/>
        </w:rPr>
      </w:pPr>
      <w:r>
        <w:rPr>
          <w:rFonts w:ascii="Calibri" w:hAnsi="Calibri" w:asciiTheme="minorHAnsi" w:hAnsiTheme="minorHAnsi"/>
          <w:b/>
          <w:color w:val="auto"/>
          <w:sz w:val="20"/>
          <w:szCs w:val="20"/>
        </w:rPr>
        <w:t>16.2. Además dice la DIA:</w:t>
      </w:r>
    </w:p>
    <w:p>
      <w:pPr>
        <w:pStyle w:val="Default"/>
        <w:jc w:val="both"/>
        <w:rPr>
          <w:rFonts w:ascii="Calibri" w:hAnsi="Calibri" w:asciiTheme="minorHAnsi" w:hAnsiTheme="minorHAnsi"/>
          <w:b/>
          <w:b/>
          <w:color w:val="auto"/>
          <w:sz w:val="8"/>
          <w:szCs w:val="8"/>
        </w:rPr>
      </w:pPr>
      <w:r>
        <w:rPr>
          <w:rFonts w:asciiTheme="minorHAnsi" w:hAnsiTheme="minorHAnsi" w:ascii="Calibri" w:hAnsi="Calibri"/>
          <w:b/>
          <w:color w:val="auto"/>
          <w:sz w:val="8"/>
          <w:szCs w:val="8"/>
        </w:rPr>
      </w:r>
    </w:p>
    <w:p>
      <w:pPr>
        <w:pStyle w:val="Default"/>
        <w:ind w:left="708" w:hanging="0"/>
        <w:jc w:val="both"/>
        <w:rPr>
          <w:rFonts w:ascii="Calibri" w:hAnsi="Calibri" w:asciiTheme="minorHAnsi" w:hAnsiTheme="minorHAnsi"/>
          <w:b/>
          <w:b/>
          <w:i/>
          <w:i/>
          <w:color w:val="auto"/>
          <w:sz w:val="20"/>
          <w:szCs w:val="20"/>
        </w:rPr>
      </w:pPr>
      <w:r>
        <w:rPr>
          <w:rFonts w:ascii="Calibri" w:hAnsi="Calibri" w:asciiTheme="minorHAnsi" w:hAnsiTheme="minorHAnsi"/>
          <w:b/>
          <w:i/>
          <w:color w:val="auto"/>
          <w:sz w:val="20"/>
          <w:szCs w:val="20"/>
        </w:rPr>
        <w:t>“</w:t>
      </w:r>
      <w:r>
        <w:rPr>
          <w:rFonts w:ascii="Calibri" w:hAnsi="Calibri" w:asciiTheme="minorHAnsi" w:hAnsiTheme="minorHAnsi"/>
          <w:b/>
          <w:i/>
          <w:color w:val="auto"/>
          <w:sz w:val="20"/>
          <w:szCs w:val="20"/>
        </w:rPr>
        <w:t>El único acceso al PE Cid II que atraviesa la ZEPA «Río Guadalope – Maestrazgo» se realiza a través de un camino ya existente de 2 km de longitud”.</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Default"/>
        <w:jc w:val="both"/>
        <w:rPr>
          <w:rFonts w:ascii="Calibri" w:hAnsi="Calibri" w:asciiTheme="minorHAnsi" w:hAnsiTheme="minorHAnsi"/>
          <w:b/>
          <w:b/>
          <w:color w:val="auto"/>
          <w:sz w:val="20"/>
          <w:szCs w:val="20"/>
        </w:rPr>
      </w:pPr>
      <w:r>
        <w:rPr>
          <w:rFonts w:ascii="Calibri" w:hAnsi="Calibri" w:asciiTheme="minorHAnsi" w:hAnsiTheme="minorHAnsi"/>
          <w:b/>
          <w:color w:val="auto"/>
          <w:sz w:val="20"/>
          <w:szCs w:val="20"/>
        </w:rPr>
        <w:t>Que ya exista un camino no significa que no se aumente la afección, ya que dicho camino es preciso ampliarlo hasta 6 m. de anchura.</w:t>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b/>
          <w:sz w:val="20"/>
          <w:szCs w:val="20"/>
        </w:rPr>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asciiTheme="minorHAnsi" w:hAnsiTheme="minorHAnsi"/>
          <w:b/>
          <w:sz w:val="20"/>
          <w:szCs w:val="20"/>
        </w:rPr>
        <w:t>16.3. Situación de los PEs respecto a las ZEPAs:</w:t>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b/>
          <w:sz w:val="20"/>
          <w:szCs w:val="20"/>
        </w:rPr>
      </w:r>
    </w:p>
    <w:p>
      <w:pPr>
        <w:pStyle w:val="Normal"/>
        <w:spacing w:lineRule="auto" w:line="240" w:before="0" w:after="0"/>
        <w:ind w:left="708" w:hanging="0"/>
        <w:jc w:val="both"/>
        <w:rPr>
          <w:rFonts w:cs="Arial"/>
          <w:b/>
          <w:b/>
          <w:i/>
          <w:i/>
          <w:sz w:val="20"/>
          <w:szCs w:val="20"/>
        </w:rPr>
      </w:pPr>
      <w:r>
        <w:rPr/>
        <w:drawing>
          <wp:inline distT="0" distB="0" distL="0" distR="0">
            <wp:extent cx="5289550" cy="4309110"/>
            <wp:effectExtent l="0" t="0" r="0" b="0"/>
            <wp:docPr id="6" name="Imagen2" descr="E:\1. Batallas\11.12. Maestrazgo 2021\Alegaciones\ZEPAs y Parques eóli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2" descr="E:\1. Batallas\11.12. Maestrazgo 2021\Alegaciones\ZEPAs y Parques eólicos.JPG"/>
                    <pic:cNvPicPr>
                      <a:picLocks noChangeAspect="1" noChangeArrowheads="1"/>
                    </pic:cNvPicPr>
                  </pic:nvPicPr>
                  <pic:blipFill>
                    <a:blip r:embed="rId16"/>
                    <a:stretch>
                      <a:fillRect/>
                    </a:stretch>
                  </pic:blipFill>
                  <pic:spPr bwMode="auto">
                    <a:xfrm>
                      <a:off x="0" y="0"/>
                      <a:ext cx="5289550" cy="4309110"/>
                    </a:xfrm>
                    <a:prstGeom prst="rect">
                      <a:avLst/>
                    </a:prstGeom>
                  </pic:spPr>
                </pic:pic>
              </a:graphicData>
            </a:graphic>
          </wp:inline>
        </w:drawing>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Default"/>
        <w:jc w:val="both"/>
        <w:rPr>
          <w:rFonts w:ascii="Calibri" w:hAnsi="Calibri" w:asciiTheme="minorHAnsi" w:hAnsiTheme="minorHAnsi"/>
          <w:b/>
          <w:b/>
          <w:color w:val="auto"/>
          <w:sz w:val="20"/>
          <w:szCs w:val="20"/>
        </w:rPr>
      </w:pPr>
      <w:r>
        <w:rPr>
          <w:rFonts w:ascii="Calibri" w:hAnsi="Calibri" w:asciiTheme="minorHAnsi" w:hAnsiTheme="minorHAnsi"/>
          <w:b/>
          <w:color w:val="auto"/>
          <w:sz w:val="20"/>
          <w:szCs w:val="20"/>
        </w:rPr>
        <w:t>16.4. El propio Estudio de Avifauna reconoce la incompatibilidad de los parques eólicos con los objetivos de los valores de conservación de la ZEPA. Dice el Estudio de avifauna del EsIA:</w:t>
      </w:r>
    </w:p>
    <w:p>
      <w:pPr>
        <w:pStyle w:val="Default"/>
        <w:jc w:val="both"/>
        <w:rPr>
          <w:rFonts w:ascii="Calibri" w:hAnsi="Calibri" w:asciiTheme="minorHAnsi" w:hAnsiTheme="minorHAnsi"/>
          <w:b/>
          <w:b/>
          <w:color w:val="auto"/>
          <w:sz w:val="8"/>
          <w:szCs w:val="8"/>
        </w:rPr>
      </w:pPr>
      <w:r>
        <w:rPr>
          <w:rFonts w:asciiTheme="minorHAnsi" w:hAnsiTheme="minorHAnsi" w:ascii="Calibri" w:hAnsi="Calibri"/>
          <w:b/>
          <w:color w:val="auto"/>
          <w:sz w:val="8"/>
          <w:szCs w:val="8"/>
        </w:rPr>
      </w:r>
    </w:p>
    <w:p>
      <w:pPr>
        <w:pStyle w:val="Normal"/>
        <w:tabs>
          <w:tab w:val="clear" w:pos="708"/>
          <w:tab w:val="left" w:pos="4253" w:leader="none"/>
        </w:tabs>
        <w:spacing w:lineRule="auto" w:line="240" w:before="0" w:after="0"/>
        <w:ind w:left="708" w:hanging="0"/>
        <w:jc w:val="both"/>
        <w:rPr>
          <w:rFonts w:cs="DejaVuSans"/>
          <w:b/>
          <w:b/>
          <w:i/>
          <w:i/>
          <w:sz w:val="20"/>
          <w:szCs w:val="20"/>
        </w:rPr>
      </w:pPr>
      <w:r>
        <w:rPr>
          <w:rFonts w:cs="OBIPG C+ Century Schoolbook"/>
          <w:b/>
          <w:i/>
          <w:sz w:val="20"/>
          <w:szCs w:val="20"/>
          <w:lang w:val="es-ES_tradnl"/>
        </w:rPr>
        <w:t>“</w:t>
      </w:r>
      <w:r>
        <w:rPr>
          <w:rFonts w:cs="DejaVuSans"/>
          <w:b/>
          <w:i/>
          <w:sz w:val="20"/>
          <w:szCs w:val="20"/>
        </w:rPr>
        <w:t xml:space="preserve">En particular, el proyecto presentado es incompatible con los Objetivos de los valores de conservación del EPRN2000 de la </w:t>
      </w:r>
      <w:r>
        <w:rPr>
          <w:rFonts w:eastAsia="DejaVuSans-Bold" w:cs="DejaVuSans-Bold"/>
          <w:b/>
          <w:bCs/>
          <w:i/>
          <w:sz w:val="20"/>
          <w:szCs w:val="20"/>
        </w:rPr>
        <w:t>ZEPA ES0000306 - Rio Guadalope –</w:t>
      </w:r>
      <w:r>
        <w:rPr>
          <w:rFonts w:cs="DejaVuSans"/>
          <w:b/>
          <w:i/>
          <w:sz w:val="20"/>
          <w:szCs w:val="20"/>
        </w:rPr>
        <w:t xml:space="preserve"> </w:t>
      </w:r>
      <w:r>
        <w:rPr>
          <w:rFonts w:eastAsia="DejaVuSans-Bold" w:cs="DejaVuSans-Bold"/>
          <w:b/>
          <w:bCs/>
          <w:i/>
          <w:sz w:val="20"/>
          <w:szCs w:val="20"/>
        </w:rPr>
        <w:t>Maestrazgo</w:t>
      </w:r>
      <w:r>
        <w:rPr>
          <w:rFonts w:cs="DejaVuSans"/>
          <w:b/>
          <w:i/>
          <w:sz w:val="20"/>
          <w:szCs w:val="20"/>
        </w:rPr>
        <w:t xml:space="preserve">, ya que para el </w:t>
      </w:r>
      <w:r>
        <w:rPr>
          <w:rFonts w:eastAsia="DejaVuSans-Bold" w:cs="DejaVuSans-Bold"/>
          <w:b/>
          <w:bCs/>
          <w:i/>
          <w:sz w:val="20"/>
          <w:szCs w:val="20"/>
        </w:rPr>
        <w:t xml:space="preserve">Alimoche </w:t>
      </w:r>
      <w:r>
        <w:rPr>
          <w:rFonts w:cs="DejaVuSans"/>
          <w:b/>
          <w:i/>
          <w:sz w:val="20"/>
          <w:szCs w:val="20"/>
        </w:rPr>
        <w:t>se propone como objetivo</w:t>
      </w:r>
      <w:r>
        <w:rPr>
          <w:rFonts w:cs="DejaVuSans"/>
          <w:b/>
          <w:sz w:val="20"/>
          <w:szCs w:val="20"/>
        </w:rPr>
        <w:t xml:space="preserve"> “</w:t>
      </w:r>
      <w:r>
        <w:rPr>
          <w:rFonts w:cs="DejaVuSans-Oblique"/>
          <w:b/>
          <w:i/>
          <w:iCs/>
          <w:sz w:val="20"/>
          <w:szCs w:val="20"/>
        </w:rPr>
        <w:t>mantener o</w:t>
      </w:r>
      <w:r>
        <w:rPr>
          <w:rFonts w:cs="DejaVuSans"/>
          <w:b/>
          <w:sz w:val="20"/>
          <w:szCs w:val="20"/>
        </w:rPr>
        <w:t xml:space="preserve"> </w:t>
      </w:r>
      <w:r>
        <w:rPr>
          <w:rFonts w:cs="DejaVuSans-Oblique"/>
          <w:b/>
          <w:i/>
          <w:iCs/>
          <w:sz w:val="20"/>
          <w:szCs w:val="20"/>
        </w:rPr>
        <w:t>aumentar el nº de parejas reproductoras, así como los datos de productividad y éxito</w:t>
      </w:r>
      <w:r>
        <w:rPr>
          <w:rFonts w:cs="DejaVuSans"/>
          <w:b/>
          <w:sz w:val="20"/>
          <w:szCs w:val="20"/>
        </w:rPr>
        <w:t xml:space="preserve"> </w:t>
      </w:r>
      <w:r>
        <w:rPr>
          <w:rFonts w:cs="DejaVuSans-Oblique"/>
          <w:b/>
          <w:i/>
          <w:iCs/>
          <w:sz w:val="20"/>
          <w:szCs w:val="20"/>
        </w:rPr>
        <w:t>reproductor de la EIC en el espacio protegido red Natura 2000</w:t>
      </w:r>
      <w:r>
        <w:rPr>
          <w:rFonts w:cs="DejaVuSans"/>
          <w:b/>
          <w:sz w:val="20"/>
          <w:szCs w:val="20"/>
        </w:rPr>
        <w:t>”, así como “</w:t>
      </w:r>
      <w:r>
        <w:rPr>
          <w:rFonts w:cs="DejaVuSans-Oblique"/>
          <w:b/>
          <w:i/>
          <w:iCs/>
          <w:sz w:val="20"/>
          <w:szCs w:val="20"/>
        </w:rPr>
        <w:t>disminuir la</w:t>
      </w:r>
      <w:r>
        <w:rPr>
          <w:rFonts w:cs="DejaVuSans"/>
          <w:b/>
          <w:sz w:val="20"/>
          <w:szCs w:val="20"/>
        </w:rPr>
        <w:t xml:space="preserve"> </w:t>
      </w:r>
      <w:r>
        <w:rPr>
          <w:rFonts w:cs="DejaVuSans-Oblique"/>
          <w:b/>
          <w:i/>
          <w:iCs/>
          <w:sz w:val="20"/>
          <w:szCs w:val="20"/>
        </w:rPr>
        <w:t>presencia e incidencia de las presiones y amenazas, teniendo en cuenta la resiliencia</w:t>
      </w:r>
      <w:r>
        <w:rPr>
          <w:rFonts w:cs="DejaVuSans"/>
          <w:b/>
          <w:sz w:val="20"/>
          <w:szCs w:val="20"/>
        </w:rPr>
        <w:t xml:space="preserve"> </w:t>
      </w:r>
      <w:r>
        <w:rPr>
          <w:rFonts w:cs="DejaVuSans-Oblique"/>
          <w:b/>
          <w:i/>
          <w:iCs/>
          <w:sz w:val="20"/>
          <w:szCs w:val="20"/>
        </w:rPr>
        <w:t>del EIC en el espacio protegido red Natura 2000, procurando que su tendencia sea a</w:t>
      </w:r>
      <w:r>
        <w:rPr>
          <w:rFonts w:cs="DejaVuSans"/>
          <w:b/>
          <w:sz w:val="20"/>
          <w:szCs w:val="20"/>
        </w:rPr>
        <w:t xml:space="preserve"> </w:t>
      </w:r>
      <w:r>
        <w:rPr>
          <w:rFonts w:cs="DejaVuSans-Oblique"/>
          <w:b/>
          <w:i/>
          <w:iCs/>
          <w:sz w:val="20"/>
          <w:szCs w:val="20"/>
        </w:rPr>
        <w:t>disminuir e incluso desaparecer</w:t>
      </w:r>
      <w:r>
        <w:rPr>
          <w:rFonts w:cs="DejaVuSans"/>
          <w:b/>
          <w:i/>
          <w:sz w:val="20"/>
          <w:szCs w:val="20"/>
        </w:rPr>
        <w:t xml:space="preserve">”. Este EPRN2000 se encuentra, de hecho, dentro del ámbito del Plan de recuperación del </w:t>
      </w:r>
      <w:r>
        <w:rPr>
          <w:rFonts w:eastAsia="DejaVuSans-Bold" w:cs="DejaVuSans-Bold"/>
          <w:b/>
          <w:bCs/>
          <w:i/>
          <w:sz w:val="20"/>
          <w:szCs w:val="20"/>
        </w:rPr>
        <w:t>águila perdicera</w:t>
      </w:r>
      <w:r>
        <w:rPr>
          <w:rFonts w:cs="DejaVuSans"/>
          <w:b/>
          <w:i/>
          <w:sz w:val="20"/>
          <w:szCs w:val="20"/>
        </w:rPr>
        <w:t>, aprobado mediante el Decreto 326/2011, en el que se prohíbe la instalación de parques eólicos o aerogeneradores en los espacios de la Red Natura 2000 incluidos en su ámbito de aplicación. No se propone la instalación de aerogeneradores dentro de la ZEPA, pero ésta se vería rodeada por estas infraestructuras”</w:t>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b/>
          <w:sz w:val="20"/>
          <w:szCs w:val="20"/>
        </w:rPr>
      </w:r>
    </w:p>
    <w:p>
      <w:pPr>
        <w:pStyle w:val="Normal"/>
        <w:spacing w:lineRule="auto" w:line="240" w:before="0" w:after="0"/>
        <w:jc w:val="both"/>
        <w:rPr>
          <w:rFonts w:cs="Arial"/>
          <w:b/>
          <w:b/>
          <w:sz w:val="20"/>
          <w:szCs w:val="20"/>
        </w:rPr>
      </w:pPr>
      <w:r>
        <w:rPr>
          <w:rFonts w:cs="Arial"/>
          <w:b/>
          <w:sz w:val="20"/>
          <w:szCs w:val="20"/>
        </w:rPr>
        <w:t>16.5.</w:t>
      </w:r>
      <w:r>
        <w:rPr>
          <w:rFonts w:cs="Arial"/>
          <w:b/>
          <w:sz w:val="24"/>
          <w:szCs w:val="24"/>
        </w:rPr>
        <w:t xml:space="preserve"> </w:t>
      </w:r>
      <w:r>
        <w:rPr>
          <w:rFonts w:cs="Arial"/>
          <w:b/>
          <w:sz w:val="20"/>
          <w:szCs w:val="20"/>
        </w:rPr>
        <w:t>Además,</w:t>
      </w:r>
      <w:r>
        <w:rPr>
          <w:rFonts w:cs="Arial"/>
          <w:b/>
          <w:sz w:val="24"/>
          <w:szCs w:val="24"/>
        </w:rPr>
        <w:t xml:space="preserve"> </w:t>
      </w:r>
      <w:r>
        <w:rPr>
          <w:rFonts w:cs="Arial"/>
          <w:b/>
          <w:sz w:val="20"/>
          <w:szCs w:val="20"/>
        </w:rPr>
        <w:t>la DIA reconoce que se afecta directamente o indirectamente a Zonas de Especial Protección para las Aves (ZEPAs) o Zonas de Especial Conservación (ZEC). Dice la DIA:</w:t>
      </w:r>
    </w:p>
    <w:p>
      <w:pPr>
        <w:pStyle w:val="Normal"/>
        <w:spacing w:lineRule="auto" w:line="240" w:before="0" w:after="0"/>
        <w:jc w:val="both"/>
        <w:rPr>
          <w:rFonts w:cs="Arial"/>
          <w:b/>
          <w:b/>
          <w:sz w:val="8"/>
          <w:szCs w:val="8"/>
        </w:rPr>
      </w:pPr>
      <w:r>
        <w:rPr>
          <w:rFonts w:cs="Arial"/>
          <w:b/>
          <w:sz w:val="8"/>
          <w:szCs w:val="8"/>
        </w:rPr>
      </w:r>
    </w:p>
    <w:p>
      <w:pPr>
        <w:pStyle w:val="Normal"/>
        <w:spacing w:lineRule="auto" w:line="240" w:before="0" w:after="0"/>
        <w:ind w:left="708" w:hanging="0"/>
        <w:jc w:val="both"/>
        <w:rPr>
          <w:rFonts w:cs="Arial"/>
          <w:b/>
          <w:b/>
          <w:i/>
          <w:i/>
          <w:sz w:val="20"/>
          <w:szCs w:val="20"/>
        </w:rPr>
      </w:pPr>
      <w:r>
        <w:rPr>
          <w:rFonts w:cs="Arial"/>
          <w:b/>
          <w:i/>
          <w:sz w:val="20"/>
          <w:szCs w:val="20"/>
        </w:rPr>
        <w:t>“</w:t>
      </w:r>
      <w:r>
        <w:rPr>
          <w:rFonts w:cs="Arial"/>
          <w:b/>
          <w:i/>
          <w:sz w:val="20"/>
          <w:szCs w:val="20"/>
        </w:rPr>
        <w:t>-En cuanto a las líneas de evacuación, solamente la LAAT 400Kv SET Iglesuela-SET Morella atraviesa la ZEPA L’Alt Maestrat en un recorrido de 10 km, en paralelo con la LAAT Renomar, ya existente en la actualidad”.</w:t>
      </w:r>
    </w:p>
    <w:p>
      <w:pPr>
        <w:pStyle w:val="Normal"/>
        <w:spacing w:lineRule="auto" w:line="240" w:before="0" w:after="0"/>
        <w:jc w:val="both"/>
        <w:rPr>
          <w:rFonts w:cs="Arial"/>
          <w:b/>
          <w:b/>
          <w:i/>
          <w:i/>
          <w:sz w:val="8"/>
          <w:szCs w:val="8"/>
        </w:rPr>
      </w:pPr>
      <w:r>
        <w:rPr>
          <w:rFonts w:cs="Arial"/>
          <w:b/>
          <w:i/>
          <w:sz w:val="8"/>
          <w:szCs w:val="8"/>
        </w:rPr>
      </w:r>
    </w:p>
    <w:p>
      <w:pPr>
        <w:pStyle w:val="Normal"/>
        <w:spacing w:lineRule="auto" w:line="240" w:before="0" w:after="0"/>
        <w:ind w:left="708" w:hanging="0"/>
        <w:jc w:val="both"/>
        <w:rPr>
          <w:rFonts w:cs="Arial"/>
          <w:b/>
          <w:b/>
          <w:i/>
          <w:i/>
          <w:sz w:val="20"/>
          <w:szCs w:val="20"/>
        </w:rPr>
      </w:pPr>
      <w:r>
        <w:rPr>
          <w:rFonts w:cs="Arial"/>
          <w:b/>
          <w:i/>
          <w:sz w:val="20"/>
          <w:szCs w:val="20"/>
        </w:rPr>
        <w:t>-Al este del proyecto se ubica la ZEPA ES0000465 L'Alt Maestrat, la Tinença de Benifassà, el Turmell i Vallivana. Ningún parque eólico afecta a esta ZEPA, el extremo NE del parque Cid I se ubica a 2.300 m del límite de la ZEPA. La LAAT 400Kv SET Iglesuela-SET Morella recorre 10 km de la misma.</w:t>
      </w:r>
    </w:p>
    <w:p>
      <w:pPr>
        <w:pStyle w:val="Normal"/>
        <w:spacing w:lineRule="auto" w:line="240" w:before="0" w:after="0"/>
        <w:ind w:left="708" w:hanging="0"/>
        <w:jc w:val="both"/>
        <w:rPr>
          <w:rFonts w:cs="Arial"/>
          <w:b/>
          <w:b/>
          <w:i/>
          <w:i/>
          <w:sz w:val="8"/>
          <w:szCs w:val="8"/>
        </w:rPr>
      </w:pPr>
      <w:r>
        <w:rPr>
          <w:rFonts w:cs="Arial"/>
          <w:b/>
          <w:i/>
          <w:sz w:val="8"/>
          <w:szCs w:val="8"/>
        </w:rPr>
      </w:r>
    </w:p>
    <w:p>
      <w:pPr>
        <w:pStyle w:val="Normal"/>
        <w:spacing w:lineRule="auto" w:line="240" w:before="0" w:after="0"/>
        <w:ind w:left="708" w:hanging="0"/>
        <w:jc w:val="both"/>
        <w:rPr>
          <w:rFonts w:cs="Arial"/>
          <w:b/>
          <w:b/>
          <w:i/>
          <w:i/>
          <w:sz w:val="20"/>
          <w:szCs w:val="20"/>
        </w:rPr>
      </w:pPr>
      <w:r>
        <w:rPr>
          <w:rFonts w:cs="Arial"/>
          <w:b/>
          <w:i/>
          <w:sz w:val="20"/>
          <w:szCs w:val="20"/>
        </w:rPr>
        <w:t>-ZEPA ES0000466 Penyagolosa se ubica al sur del proyecto y dista 1.800 m del parque Estrella II y 2.000 m del parque Estrella III.</w:t>
      </w:r>
    </w:p>
    <w:p>
      <w:pPr>
        <w:pStyle w:val="Normal"/>
        <w:spacing w:lineRule="auto" w:line="240" w:before="0" w:after="0"/>
        <w:ind w:left="708" w:hanging="0"/>
        <w:jc w:val="both"/>
        <w:rPr>
          <w:rFonts w:cs="Arial"/>
          <w:b/>
          <w:b/>
          <w:i/>
          <w:i/>
          <w:sz w:val="20"/>
          <w:szCs w:val="20"/>
        </w:rPr>
      </w:pPr>
      <w:r>
        <w:rPr>
          <w:rFonts w:cs="Arial"/>
          <w:b/>
          <w:i/>
          <w:sz w:val="20"/>
          <w:szCs w:val="20"/>
        </w:rPr>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asciiTheme="minorHAnsi" w:hAnsiTheme="minorHAnsi"/>
          <w:b/>
          <w:sz w:val="20"/>
          <w:szCs w:val="20"/>
        </w:rPr>
        <w:t>16.6. El peligro de colisión con las aspas es real ya que, según puede leerse en el Capítulo 4 del Estudio de Impacto, en la pág. 440:</w:t>
      </w:r>
    </w:p>
    <w:p>
      <w:pPr>
        <w:pStyle w:val="NormalWeb"/>
        <w:shd w:val="clear" w:color="auto" w:fill="FFFFFF"/>
        <w:spacing w:beforeAutospacing="0" w:before="0" w:afterAutospacing="0" w:after="0"/>
        <w:jc w:val="both"/>
        <w:rPr>
          <w:rFonts w:ascii="Calibri" w:hAnsi="Calibri" w:cs="Arial" w:asciiTheme="minorHAnsi" w:hAnsiTheme="minorHAnsi"/>
          <w:b/>
          <w:b/>
          <w:sz w:val="8"/>
          <w:szCs w:val="8"/>
        </w:rPr>
      </w:pPr>
      <w:r>
        <w:rPr>
          <w:rFonts w:cs="Arial" w:ascii="Calibri" w:hAnsi="Calibri"/>
          <w:b/>
          <w:sz w:val="8"/>
          <w:szCs w:val="8"/>
        </w:rPr>
      </w:r>
    </w:p>
    <w:p>
      <w:pPr>
        <w:pStyle w:val="NormalWeb"/>
        <w:shd w:val="clear" w:color="auto" w:fill="FFFFFF"/>
        <w:spacing w:beforeAutospacing="0" w:before="0" w:afterAutospacing="0" w:after="0"/>
        <w:ind w:left="708" w:hanging="0"/>
        <w:jc w:val="both"/>
        <w:rPr>
          <w:rFonts w:ascii="Calibri" w:hAnsi="Calibri" w:cs="Arial" w:asciiTheme="minorHAnsi" w:hAnsiTheme="minorHAnsi"/>
          <w:b/>
          <w:b/>
          <w:sz w:val="20"/>
          <w:szCs w:val="20"/>
        </w:rPr>
      </w:pPr>
      <w:r>
        <w:rPr>
          <w:rFonts w:cs="Arial" w:ascii="Calibri" w:hAnsi="Calibri" w:asciiTheme="minorHAnsi" w:hAnsiTheme="minorHAnsi"/>
          <w:b/>
          <w:sz w:val="20"/>
          <w:szCs w:val="20"/>
        </w:rPr>
        <w:t>-L</w:t>
      </w:r>
      <w:r>
        <w:rPr>
          <w:rFonts w:eastAsia="Calibri" w:cs="Arial" w:ascii="Calibri" w:hAnsi="Calibri" w:asciiTheme="minorHAnsi" w:hAnsiTheme="minorHAnsi"/>
          <w:b/>
          <w:sz w:val="20"/>
          <w:szCs w:val="20"/>
        </w:rPr>
        <w:t xml:space="preserve">as aves de la ZEPA </w:t>
      </w:r>
      <w:r>
        <w:rPr>
          <w:rFonts w:cs="Arial" w:ascii="Calibri" w:hAnsi="Calibri" w:asciiTheme="minorHAnsi" w:hAnsiTheme="minorHAnsi"/>
          <w:b/>
          <w:sz w:val="20"/>
          <w:szCs w:val="20"/>
        </w:rPr>
        <w:t xml:space="preserve">Río Guadalope –Maestrazgo ES0000306 vuelan por encima de los emplazamientos de los parques eólicos: </w:t>
      </w:r>
    </w:p>
    <w:p>
      <w:pPr>
        <w:pStyle w:val="NormalWeb"/>
        <w:shd w:val="clear" w:color="auto" w:fill="FFFFFF"/>
        <w:spacing w:beforeAutospacing="0" w:before="0" w:afterAutospacing="0" w:after="0"/>
        <w:jc w:val="both"/>
        <w:rPr>
          <w:rFonts w:ascii="Calibri" w:hAnsi="Calibri" w:cs="Arial" w:asciiTheme="minorHAnsi" w:hAnsiTheme="minorHAnsi"/>
          <w:b/>
          <w:b/>
          <w:sz w:val="8"/>
          <w:szCs w:val="8"/>
        </w:rPr>
      </w:pPr>
      <w:r>
        <w:rPr>
          <w:rFonts w:cs="Arial" w:ascii="Calibri" w:hAnsi="Calibri"/>
          <w:b/>
          <w:sz w:val="8"/>
          <w:szCs w:val="8"/>
        </w:rPr>
      </w:r>
    </w:p>
    <w:p>
      <w:pPr>
        <w:pStyle w:val="NormalWeb"/>
        <w:shd w:val="clear" w:color="auto" w:fill="FFFFFF"/>
        <w:spacing w:beforeAutospacing="0" w:before="0" w:afterAutospacing="0" w:after="0"/>
        <w:ind w:left="1416" w:hanging="0"/>
        <w:jc w:val="both"/>
        <w:rPr>
          <w:rFonts w:ascii="Calibri" w:hAnsi="Calibri" w:cs="Arial" w:asciiTheme="minorHAnsi" w:hAnsiTheme="minorHAnsi"/>
          <w:b/>
          <w:b/>
          <w:i/>
          <w:i/>
          <w:sz w:val="20"/>
          <w:szCs w:val="20"/>
        </w:rPr>
      </w:pPr>
      <w:r>
        <w:rPr>
          <w:rFonts w:cs="Arial" w:ascii="Calibri" w:hAnsi="Calibri" w:asciiTheme="minorHAnsi" w:hAnsiTheme="minorHAnsi"/>
          <w:b/>
          <w:i/>
          <w:sz w:val="20"/>
          <w:szCs w:val="20"/>
        </w:rPr>
        <w:t>Cid IV, III, II y I, Cabecero II, III, IV, Vacada I y Concejo I, II y III</w:t>
      </w:r>
    </w:p>
    <w:p>
      <w:pPr>
        <w:pStyle w:val="NormalWeb"/>
        <w:shd w:val="clear" w:color="auto" w:fill="FFFFFF"/>
        <w:spacing w:beforeAutospacing="0" w:before="0" w:afterAutospacing="0" w:after="0"/>
        <w:jc w:val="both"/>
        <w:rPr>
          <w:rFonts w:ascii="Calibri" w:hAnsi="Calibri" w:cs="Arial" w:asciiTheme="minorHAnsi" w:hAnsiTheme="minorHAnsi"/>
          <w:b/>
          <w:b/>
          <w:sz w:val="8"/>
          <w:szCs w:val="8"/>
        </w:rPr>
      </w:pPr>
      <w:r>
        <w:rPr>
          <w:rFonts w:cs="Arial" w:ascii="Calibri" w:hAnsi="Calibri"/>
          <w:b/>
          <w:sz w:val="8"/>
          <w:szCs w:val="8"/>
        </w:rPr>
      </w:r>
    </w:p>
    <w:p>
      <w:pPr>
        <w:pStyle w:val="NormalWeb"/>
        <w:shd w:val="clear" w:color="auto" w:fill="FFFFFF"/>
        <w:spacing w:beforeAutospacing="0" w:before="0" w:afterAutospacing="0" w:after="0"/>
        <w:ind w:left="708" w:hanging="0"/>
        <w:jc w:val="both"/>
        <w:rPr>
          <w:rFonts w:ascii="Calibri" w:hAnsi="Calibri" w:cs="Arial" w:asciiTheme="minorHAnsi" w:hAnsiTheme="minorHAnsi"/>
          <w:b/>
          <w:b/>
          <w:sz w:val="20"/>
          <w:szCs w:val="20"/>
        </w:rPr>
      </w:pPr>
      <w:r>
        <w:rPr>
          <w:rFonts w:cs="Arial" w:ascii="Calibri" w:hAnsi="Calibri" w:asciiTheme="minorHAnsi" w:hAnsiTheme="minorHAnsi"/>
          <w:b/>
          <w:sz w:val="20"/>
          <w:szCs w:val="20"/>
        </w:rPr>
        <w:t>-L</w:t>
      </w:r>
      <w:r>
        <w:rPr>
          <w:rFonts w:eastAsia="Calibri" w:cs="Arial" w:ascii="Calibri" w:hAnsi="Calibri" w:asciiTheme="minorHAnsi" w:hAnsiTheme="minorHAnsi"/>
          <w:b/>
          <w:sz w:val="20"/>
          <w:szCs w:val="20"/>
        </w:rPr>
        <w:t xml:space="preserve">as aves de la ZEPA </w:t>
      </w:r>
      <w:r>
        <w:rPr>
          <w:rFonts w:cs="Arial" w:ascii="Calibri" w:hAnsi="Calibri" w:asciiTheme="minorHAnsi" w:hAnsiTheme="minorHAnsi"/>
          <w:b/>
          <w:sz w:val="20"/>
          <w:szCs w:val="20"/>
        </w:rPr>
        <w:t xml:space="preserve">L'Alt Maestrat, la Tinença de Benifassá, el Turmell i Vallivana ES0000465 vuelan por encima de los emplazamientos de los parques eólicos: </w:t>
      </w:r>
    </w:p>
    <w:p>
      <w:pPr>
        <w:pStyle w:val="NormalWeb"/>
        <w:shd w:val="clear" w:color="auto" w:fill="FFFFFF"/>
        <w:spacing w:beforeAutospacing="0" w:before="0" w:afterAutospacing="0" w:after="0"/>
        <w:jc w:val="both"/>
        <w:rPr>
          <w:rFonts w:ascii="Calibri" w:hAnsi="Calibri" w:cs="Arial" w:asciiTheme="minorHAnsi" w:hAnsiTheme="minorHAnsi"/>
          <w:b/>
          <w:b/>
          <w:sz w:val="8"/>
          <w:szCs w:val="8"/>
        </w:rPr>
      </w:pPr>
      <w:r>
        <w:rPr>
          <w:rFonts w:cs="Arial" w:ascii="Calibri" w:hAnsi="Calibri"/>
          <w:b/>
          <w:sz w:val="8"/>
          <w:szCs w:val="8"/>
        </w:rPr>
      </w:r>
    </w:p>
    <w:p>
      <w:pPr>
        <w:pStyle w:val="NormalWeb"/>
        <w:shd w:val="clear" w:color="auto" w:fill="FFFFFF"/>
        <w:spacing w:beforeAutospacing="0" w:before="0" w:afterAutospacing="0" w:after="0"/>
        <w:ind w:left="1416" w:hanging="0"/>
        <w:jc w:val="both"/>
        <w:rPr>
          <w:rFonts w:ascii="Calibri" w:hAnsi="Calibri" w:cs="Arial" w:asciiTheme="minorHAnsi" w:hAnsiTheme="minorHAnsi"/>
          <w:b/>
          <w:b/>
          <w:i/>
          <w:i/>
          <w:sz w:val="20"/>
          <w:szCs w:val="20"/>
        </w:rPr>
      </w:pPr>
      <w:r>
        <w:rPr>
          <w:rFonts w:cs="Arial" w:ascii="Calibri" w:hAnsi="Calibri" w:asciiTheme="minorHAnsi" w:hAnsiTheme="minorHAnsi"/>
          <w:b/>
          <w:i/>
          <w:sz w:val="20"/>
          <w:szCs w:val="20"/>
        </w:rPr>
        <w:t>Cid IV, III, II y I, Concejo I, II y III, Estrella I, II, III y IV, La Vacada I, II, III, IV, V y VI, Cabecero II, III, IV.</w:t>
      </w:r>
    </w:p>
    <w:p>
      <w:pPr>
        <w:pStyle w:val="NormalWeb"/>
        <w:shd w:val="clear" w:color="auto" w:fill="FFFFFF"/>
        <w:spacing w:beforeAutospacing="0" w:before="0" w:afterAutospacing="0" w:after="0"/>
        <w:jc w:val="both"/>
        <w:rPr>
          <w:rFonts w:ascii="Calibri" w:hAnsi="Calibri" w:cs="Arial" w:asciiTheme="minorHAnsi" w:hAnsiTheme="minorHAnsi"/>
          <w:b/>
          <w:b/>
          <w:sz w:val="8"/>
          <w:szCs w:val="8"/>
        </w:rPr>
      </w:pPr>
      <w:r>
        <w:rPr>
          <w:rFonts w:cs="Arial" w:ascii="Calibri" w:hAnsi="Calibri"/>
          <w:b/>
          <w:sz w:val="8"/>
          <w:szCs w:val="8"/>
        </w:rPr>
      </w:r>
    </w:p>
    <w:p>
      <w:pPr>
        <w:pStyle w:val="NormalWeb"/>
        <w:shd w:val="clear" w:color="auto" w:fill="FFFFFF"/>
        <w:spacing w:beforeAutospacing="0" w:before="0" w:afterAutospacing="0" w:after="0"/>
        <w:ind w:left="708" w:hanging="0"/>
        <w:jc w:val="both"/>
        <w:rPr>
          <w:rFonts w:ascii="Calibri" w:hAnsi="Calibri" w:cs="Arial" w:asciiTheme="minorHAnsi" w:hAnsiTheme="minorHAnsi"/>
          <w:b/>
          <w:b/>
          <w:sz w:val="20"/>
          <w:szCs w:val="20"/>
        </w:rPr>
      </w:pPr>
      <w:r>
        <w:rPr>
          <w:rFonts w:cs="Arial" w:ascii="Calibri" w:hAnsi="Calibri" w:asciiTheme="minorHAnsi" w:hAnsiTheme="minorHAnsi"/>
          <w:b/>
          <w:sz w:val="20"/>
          <w:szCs w:val="20"/>
        </w:rPr>
        <w:t>-L</w:t>
      </w:r>
      <w:r>
        <w:rPr>
          <w:rFonts w:eastAsia="Calibri" w:cs="Arial" w:ascii="Calibri" w:hAnsi="Calibri" w:asciiTheme="minorHAnsi" w:hAnsiTheme="minorHAnsi"/>
          <w:b/>
          <w:sz w:val="20"/>
          <w:szCs w:val="20"/>
        </w:rPr>
        <w:t xml:space="preserve">as aves de la ZEPA </w:t>
      </w:r>
      <w:r>
        <w:rPr>
          <w:rFonts w:cs="Arial" w:ascii="Calibri" w:hAnsi="Calibri" w:asciiTheme="minorHAnsi" w:hAnsiTheme="minorHAnsi"/>
          <w:b/>
          <w:sz w:val="20"/>
          <w:szCs w:val="20"/>
        </w:rPr>
        <w:t xml:space="preserve">Penyagolosa. ES0000466 vuelan por encima de los emplazamientos de los parques eólicos: </w:t>
      </w:r>
    </w:p>
    <w:p>
      <w:pPr>
        <w:pStyle w:val="NormalWeb"/>
        <w:shd w:val="clear" w:color="auto" w:fill="FFFFFF"/>
        <w:spacing w:beforeAutospacing="0" w:before="0" w:afterAutospacing="0" w:after="0"/>
        <w:jc w:val="both"/>
        <w:rPr>
          <w:rFonts w:ascii="Calibri" w:hAnsi="Calibri" w:cs="Arial" w:asciiTheme="minorHAnsi" w:hAnsiTheme="minorHAnsi"/>
          <w:b/>
          <w:b/>
          <w:sz w:val="8"/>
          <w:szCs w:val="8"/>
        </w:rPr>
      </w:pPr>
      <w:r>
        <w:rPr>
          <w:rFonts w:cs="Arial" w:ascii="Calibri" w:hAnsi="Calibri"/>
          <w:b/>
          <w:sz w:val="8"/>
          <w:szCs w:val="8"/>
        </w:rPr>
      </w:r>
    </w:p>
    <w:p>
      <w:pPr>
        <w:pStyle w:val="NormalWeb"/>
        <w:shd w:val="clear" w:color="auto" w:fill="FFFFFF"/>
        <w:spacing w:beforeAutospacing="0" w:before="0" w:afterAutospacing="0" w:after="0"/>
        <w:ind w:left="1416" w:hanging="0"/>
        <w:jc w:val="both"/>
        <w:rPr>
          <w:rFonts w:ascii="Calibri" w:hAnsi="Calibri" w:cs="Arial" w:asciiTheme="minorHAnsi" w:hAnsiTheme="minorHAnsi"/>
          <w:b/>
          <w:b/>
          <w:i/>
          <w:i/>
          <w:sz w:val="20"/>
          <w:szCs w:val="20"/>
        </w:rPr>
      </w:pPr>
      <w:r>
        <w:rPr>
          <w:rFonts w:cs="Arial" w:ascii="Calibri" w:hAnsi="Calibri" w:asciiTheme="minorHAnsi" w:hAnsiTheme="minorHAnsi"/>
          <w:b/>
          <w:i/>
          <w:sz w:val="20"/>
          <w:szCs w:val="20"/>
        </w:rPr>
        <w:t xml:space="preserve">Concejo I, II y III, Estrella I, II, III y IV, La Vacada I, II, III, IV, V y VI, Cabecero II, III, IV y Cid I, II, III, IV </w:t>
      </w:r>
    </w:p>
    <w:p>
      <w:pPr>
        <w:pStyle w:val="NormalWeb"/>
        <w:shd w:val="clear" w:color="auto" w:fill="FFFFFF"/>
        <w:spacing w:beforeAutospacing="0" w:before="0" w:afterAutospacing="0" w:after="0"/>
        <w:jc w:val="both"/>
        <w:rPr>
          <w:rFonts w:ascii="Calibri" w:hAnsi="Calibri" w:eastAsia="Calibri" w:cs="Arial" w:asciiTheme="minorHAnsi" w:hAnsiTheme="minorHAnsi"/>
          <w:b/>
          <w:b/>
          <w:sz w:val="20"/>
          <w:szCs w:val="20"/>
        </w:rPr>
      </w:pPr>
      <w:r>
        <w:rPr>
          <w:rFonts w:eastAsia="Calibri" w:cs="Arial" w:ascii="Calibri" w:hAnsi="Calibri"/>
          <w:b/>
          <w:sz w:val="20"/>
          <w:szCs w:val="20"/>
        </w:rPr>
      </w:r>
    </w:p>
    <w:p>
      <w:pPr>
        <w:pStyle w:val="Normal"/>
        <w:spacing w:lineRule="auto" w:line="240" w:before="0" w:after="0"/>
        <w:jc w:val="both"/>
        <w:rPr>
          <w:rFonts w:cs="Arial"/>
          <w:b/>
          <w:b/>
          <w:sz w:val="20"/>
          <w:szCs w:val="20"/>
        </w:rPr>
      </w:pPr>
      <w:r>
        <w:rPr>
          <w:rFonts w:eastAsia="Calibri" w:cs="Arial"/>
          <w:b/>
          <w:sz w:val="20"/>
          <w:szCs w:val="20"/>
        </w:rPr>
        <w:t xml:space="preserve">16.7. Curiosamente, en lo que parece un razonamiento inverosímil destinado a dar sensación de menos impacto del real, en el EsIA se señala que las aves de la ZEPA </w:t>
      </w:r>
      <w:r>
        <w:rPr>
          <w:rFonts w:cs="Arial"/>
          <w:b/>
          <w:sz w:val="20"/>
          <w:szCs w:val="20"/>
        </w:rPr>
        <w:t xml:space="preserve">Puertos de Beceite ES0000307 no vuelan por la zona: </w:t>
      </w:r>
    </w:p>
    <w:p>
      <w:pPr>
        <w:pStyle w:val="Normal"/>
        <w:spacing w:lineRule="auto" w:line="240" w:before="0" w:after="0"/>
        <w:jc w:val="both"/>
        <w:rPr>
          <w:rFonts w:cs="Arial"/>
          <w:b/>
          <w:b/>
          <w:sz w:val="8"/>
          <w:szCs w:val="8"/>
        </w:rPr>
      </w:pPr>
      <w:r>
        <w:rPr>
          <w:rFonts w:cs="Arial"/>
          <w:b/>
          <w:sz w:val="8"/>
          <w:szCs w:val="8"/>
        </w:rPr>
      </w:r>
    </w:p>
    <w:p>
      <w:pPr>
        <w:pStyle w:val="Normal"/>
        <w:spacing w:lineRule="auto" w:line="240" w:before="0" w:after="0"/>
        <w:ind w:left="708" w:hanging="0"/>
        <w:jc w:val="both"/>
        <w:rPr>
          <w:rFonts w:cs="Arial"/>
          <w:b/>
          <w:b/>
          <w:i/>
          <w:i/>
          <w:sz w:val="20"/>
          <w:szCs w:val="20"/>
        </w:rPr>
      </w:pPr>
      <w:r>
        <w:rPr>
          <w:rFonts w:cs="Arial"/>
          <w:b/>
          <w:i/>
          <w:sz w:val="20"/>
          <w:szCs w:val="20"/>
        </w:rPr>
        <w:t>“</w:t>
      </w:r>
      <w:r>
        <w:rPr>
          <w:rFonts w:cs="Arial"/>
          <w:b/>
          <w:i/>
          <w:sz w:val="20"/>
          <w:szCs w:val="20"/>
        </w:rPr>
        <w:t>Estas aves recorren grandes superficies a la búsqueda de alimento, pero por su lejanía no parece que penetren de forma significativa en el área de estudio”</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Normal"/>
        <w:shd w:val="clear" w:color="auto" w:fill="FFFFFF" w:themeFill="background1"/>
        <w:spacing w:lineRule="auto" w:line="240" w:before="0" w:after="0"/>
        <w:jc w:val="both"/>
        <w:rPr>
          <w:b/>
          <w:b/>
          <w:sz w:val="20"/>
          <w:szCs w:val="20"/>
        </w:rPr>
      </w:pPr>
      <w:r>
        <w:rPr>
          <w:b/>
          <w:sz w:val="20"/>
          <w:szCs w:val="20"/>
        </w:rPr>
        <w:t>17.</w:t>
      </w:r>
      <w:r>
        <w:rPr>
          <w:b/>
          <w:sz w:val="24"/>
          <w:szCs w:val="24"/>
        </w:rPr>
        <w:t xml:space="preserve"> </w:t>
      </w:r>
      <w:r>
        <w:rPr>
          <w:b/>
          <w:sz w:val="20"/>
          <w:szCs w:val="20"/>
          <w:u w:val="single"/>
        </w:rPr>
        <w:t>SE FORMULA DECLARACIÓN DE IMPACTO AMBIENTAL FAVORABLE PARA 125 AEROGENERADORES, DE LOS CUALES 84 SE SITÚAN DENTRO DE UN LUGAR DE IMPORTANCIA COMUNITARIA (LIC)</w:t>
      </w:r>
    </w:p>
    <w:p>
      <w:pPr>
        <w:pStyle w:val="Normal"/>
        <w:shd w:val="clear" w:color="auto" w:fill="FFFFFF" w:themeFill="background1"/>
        <w:spacing w:lineRule="auto" w:line="240" w:before="0" w:after="0"/>
        <w:jc w:val="both"/>
        <w:rPr>
          <w:b/>
          <w:b/>
          <w:sz w:val="8"/>
          <w:szCs w:val="8"/>
        </w:rPr>
      </w:pPr>
      <w:r>
        <w:rPr>
          <w:b/>
          <w:sz w:val="8"/>
          <w:szCs w:val="8"/>
        </w:rPr>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ascii="Calibri" w:hAnsi="Calibri" w:asciiTheme="minorHAnsi" w:hAnsiTheme="minorHAnsi"/>
          <w:b/>
          <w:sz w:val="20"/>
          <w:szCs w:val="20"/>
        </w:rPr>
        <w:t>17</w:t>
      </w:r>
      <w:r>
        <w:rPr>
          <w:rFonts w:cs="Arial" w:ascii="Calibri" w:hAnsi="Calibri" w:asciiTheme="minorHAnsi" w:hAnsiTheme="minorHAnsi"/>
          <w:b/>
          <w:sz w:val="20"/>
          <w:szCs w:val="20"/>
        </w:rPr>
        <w:t xml:space="preserve">.1. El 67 % de los aerogeneradores se sitúan dentro de la Red Natura 2000 </w:t>
      </w:r>
    </w:p>
    <w:p>
      <w:pPr>
        <w:pStyle w:val="NormalWeb"/>
        <w:shd w:val="clear" w:color="auto" w:fill="FFFFFF"/>
        <w:spacing w:beforeAutospacing="0" w:before="0" w:afterAutospacing="0" w:after="0"/>
        <w:jc w:val="both"/>
        <w:rPr>
          <w:rFonts w:ascii="Calibri" w:hAnsi="Calibri" w:cs="Arial" w:asciiTheme="minorHAnsi" w:hAnsiTheme="minorHAnsi"/>
          <w:b/>
          <w:b/>
          <w:sz w:val="8"/>
          <w:szCs w:val="8"/>
        </w:rPr>
      </w:pPr>
      <w:r>
        <w:rPr>
          <w:rFonts w:cs="Arial" w:ascii="Calibri" w:hAnsi="Calibri"/>
          <w:b/>
          <w:sz w:val="8"/>
          <w:szCs w:val="8"/>
        </w:rPr>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drawing>
          <wp:inline distT="0" distB="0" distL="0" distR="0">
            <wp:extent cx="5831840" cy="5023485"/>
            <wp:effectExtent l="0" t="0" r="0" b="0"/>
            <wp:docPr id="7" name="Imagen 2" descr="E:\1. Batallas\11.12. Maestrazgo 2021\Alegaciones\LISc y eóli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2" descr="E:\1. Batallas\11.12. Maestrazgo 2021\Alegaciones\LISc y eólicos.JPG"/>
                    <pic:cNvPicPr>
                      <a:picLocks noChangeAspect="1" noChangeArrowheads="1"/>
                    </pic:cNvPicPr>
                  </pic:nvPicPr>
                  <pic:blipFill>
                    <a:blip r:embed="rId17"/>
                    <a:stretch>
                      <a:fillRect/>
                    </a:stretch>
                  </pic:blipFill>
                  <pic:spPr bwMode="auto">
                    <a:xfrm>
                      <a:off x="0" y="0"/>
                      <a:ext cx="5831840" cy="5023485"/>
                    </a:xfrm>
                    <a:prstGeom prst="rect">
                      <a:avLst/>
                    </a:prstGeom>
                  </pic:spPr>
                </pic:pic>
              </a:graphicData>
            </a:graphic>
          </wp:inline>
        </w:drawing>
      </w:r>
    </w:p>
    <w:p>
      <w:pPr>
        <w:pStyle w:val="NormalWeb"/>
        <w:shd w:val="clear" w:color="auto" w:fill="FFFFFF"/>
        <w:spacing w:beforeAutospacing="0" w:before="0" w:afterAutospacing="0" w:after="0"/>
        <w:jc w:val="both"/>
        <w:rPr>
          <w:rFonts w:ascii="Calibri" w:hAnsi="Calibri" w:cs="Arial" w:asciiTheme="minorHAnsi" w:hAnsiTheme="minorHAnsi"/>
          <w:b/>
          <w:b/>
          <w:sz w:val="20"/>
          <w:szCs w:val="20"/>
          <w:u w:val="single"/>
        </w:rPr>
      </w:pPr>
      <w:r>
        <w:rPr>
          <w:rFonts w:cs="Arial" w:ascii="Calibri" w:hAnsi="Calibri"/>
          <w:b/>
          <w:sz w:val="20"/>
          <w:szCs w:val="20"/>
          <w:u w:val="single"/>
        </w:rPr>
      </w:r>
    </w:p>
    <w:p>
      <w:pPr>
        <w:pStyle w:val="Normal"/>
        <w:spacing w:lineRule="auto" w:line="240" w:before="0" w:after="0"/>
        <w:jc w:val="both"/>
        <w:rPr>
          <w:rFonts w:cs="Arial"/>
          <w:b/>
          <w:b/>
          <w:i/>
          <w:i/>
          <w:u w:val="single"/>
        </w:rPr>
      </w:pPr>
      <w:r>
        <w:rPr>
          <w:b/>
          <w:sz w:val="20"/>
          <w:szCs w:val="20"/>
        </w:rPr>
        <w:t xml:space="preserve">17.2. </w:t>
      </w:r>
      <w:r>
        <w:rPr>
          <w:rFonts w:cs="Arial"/>
          <w:b/>
          <w:sz w:val="20"/>
          <w:szCs w:val="20"/>
        </w:rPr>
        <w:t>El Estudio de impacto nos indica que se afecta a cinco Lugares de Importancia Comunitaria:</w:t>
      </w:r>
    </w:p>
    <w:p>
      <w:pPr>
        <w:pStyle w:val="Normal"/>
        <w:spacing w:lineRule="auto" w:line="240" w:before="0" w:after="0"/>
        <w:ind w:left="708" w:hanging="0"/>
        <w:jc w:val="both"/>
        <w:rPr>
          <w:rFonts w:cs="Arial"/>
          <w:b/>
          <w:b/>
          <w:sz w:val="8"/>
          <w:szCs w:val="8"/>
        </w:rPr>
      </w:pPr>
      <w:r>
        <w:rPr>
          <w:rFonts w:cs="Arial"/>
          <w:b/>
          <w:sz w:val="8"/>
          <w:szCs w:val="8"/>
        </w:rPr>
      </w:r>
    </w:p>
    <w:p>
      <w:pPr>
        <w:pStyle w:val="Normal"/>
        <w:spacing w:lineRule="auto" w:line="240" w:before="0" w:after="0"/>
        <w:ind w:left="708" w:hanging="0"/>
        <w:jc w:val="both"/>
        <w:rPr>
          <w:rFonts w:cs="Arial"/>
          <w:b/>
          <w:b/>
          <w:sz w:val="20"/>
          <w:szCs w:val="20"/>
        </w:rPr>
      </w:pPr>
      <w:r>
        <w:rPr>
          <w:rFonts w:cs="Arial"/>
          <w:b/>
          <w:sz w:val="20"/>
          <w:szCs w:val="20"/>
        </w:rPr>
        <w:t>-Muelas y Estrechos del río Guadalope. ES2420124</w:t>
      </w:r>
    </w:p>
    <w:p>
      <w:pPr>
        <w:pStyle w:val="Normal"/>
        <w:spacing w:lineRule="auto" w:line="240" w:before="0" w:after="0"/>
        <w:ind w:left="708" w:hanging="0"/>
        <w:jc w:val="both"/>
        <w:rPr>
          <w:rFonts w:cs="Arial"/>
          <w:b/>
          <w:b/>
          <w:sz w:val="20"/>
          <w:szCs w:val="20"/>
        </w:rPr>
      </w:pPr>
      <w:r>
        <w:rPr>
          <w:rFonts w:cs="Arial"/>
          <w:b/>
          <w:sz w:val="20"/>
          <w:szCs w:val="20"/>
        </w:rPr>
        <w:t>-Rambla de las Truchas. ES2420125</w:t>
      </w:r>
    </w:p>
    <w:p>
      <w:pPr>
        <w:pStyle w:val="Normal"/>
        <w:spacing w:lineRule="auto" w:line="240" w:before="0" w:after="0"/>
        <w:ind w:left="708" w:hanging="0"/>
        <w:jc w:val="both"/>
        <w:rPr>
          <w:rFonts w:cs="Arial"/>
          <w:b/>
          <w:b/>
          <w:sz w:val="20"/>
          <w:szCs w:val="20"/>
        </w:rPr>
      </w:pPr>
      <w:r>
        <w:rPr>
          <w:rFonts w:cs="Arial"/>
          <w:b/>
          <w:sz w:val="20"/>
          <w:szCs w:val="20"/>
        </w:rPr>
        <w:t>-Maestrazgo y Sierra de Gúdar. ES2420126</w:t>
      </w:r>
    </w:p>
    <w:p>
      <w:pPr>
        <w:pStyle w:val="Normal"/>
        <w:spacing w:lineRule="auto" w:line="240" w:before="0" w:after="0"/>
        <w:ind w:left="708" w:hanging="0"/>
        <w:jc w:val="both"/>
        <w:rPr>
          <w:rFonts w:cs="Arial"/>
          <w:b/>
          <w:b/>
          <w:sz w:val="20"/>
          <w:szCs w:val="20"/>
        </w:rPr>
      </w:pPr>
      <w:r>
        <w:rPr>
          <w:rFonts w:cs="Arial"/>
          <w:b/>
          <w:sz w:val="20"/>
          <w:szCs w:val="20"/>
        </w:rPr>
        <w:t>-L’Alt Maestrat. ES5223002</w:t>
      </w:r>
    </w:p>
    <w:p>
      <w:pPr>
        <w:pStyle w:val="Normal"/>
        <w:spacing w:lineRule="auto" w:line="240" w:before="0" w:after="0"/>
        <w:ind w:left="708" w:hanging="0"/>
        <w:jc w:val="both"/>
        <w:rPr>
          <w:rFonts w:cs="Arial"/>
          <w:b/>
          <w:b/>
          <w:sz w:val="20"/>
          <w:szCs w:val="20"/>
        </w:rPr>
      </w:pPr>
      <w:r>
        <w:rPr>
          <w:rFonts w:cs="Arial"/>
          <w:b/>
          <w:sz w:val="20"/>
          <w:szCs w:val="20"/>
        </w:rPr>
        <w:t>-Penyagolosa. ES5223004</w:t>
      </w:r>
    </w:p>
    <w:p>
      <w:pPr>
        <w:pStyle w:val="Normal"/>
        <w:spacing w:lineRule="auto" w:line="240" w:before="0" w:after="0"/>
        <w:ind w:left="708" w:hanging="0"/>
        <w:jc w:val="both"/>
        <w:rPr>
          <w:rFonts w:cs="Arial"/>
          <w:b/>
          <w:b/>
          <w:sz w:val="20"/>
          <w:szCs w:val="20"/>
        </w:rPr>
      </w:pPr>
      <w:r>
        <w:rPr>
          <w:rFonts w:cs="Arial"/>
          <w:b/>
          <w:sz w:val="20"/>
          <w:szCs w:val="20"/>
        </w:rPr>
      </w:r>
    </w:p>
    <w:p>
      <w:pPr>
        <w:pStyle w:val="Normal"/>
        <w:spacing w:lineRule="auto" w:line="240" w:before="0" w:after="0"/>
        <w:jc w:val="both"/>
        <w:rPr>
          <w:rFonts w:cs="Arial"/>
          <w:b/>
          <w:b/>
          <w:sz w:val="20"/>
          <w:szCs w:val="20"/>
        </w:rPr>
      </w:pPr>
      <w:r>
        <w:rPr>
          <w:rFonts w:cs="Arial"/>
          <w:b/>
          <w:sz w:val="20"/>
          <w:szCs w:val="20"/>
        </w:rPr>
        <w:t>En concreto, sobre el proyecto, 13 de los 20 parques eólicos se pretenden implantar dentro del perímetro de uno o varios LICs y los otros siete parques eólicos están a pocos cientos de metros de un LIC.</w:t>
      </w:r>
    </w:p>
    <w:p>
      <w:pPr>
        <w:pStyle w:val="Normal"/>
        <w:spacing w:lineRule="auto" w:line="240" w:before="0" w:after="0"/>
        <w:jc w:val="both"/>
        <w:rPr>
          <w:rFonts w:cs="Arial"/>
          <w:b/>
          <w:b/>
          <w:sz w:val="20"/>
          <w:szCs w:val="20"/>
        </w:rPr>
      </w:pPr>
      <w:r>
        <w:rPr>
          <w:rFonts w:cs="Arial"/>
          <w:b/>
          <w:sz w:val="20"/>
          <w:szCs w:val="20"/>
        </w:rPr>
      </w:r>
    </w:p>
    <w:p>
      <w:pPr>
        <w:pStyle w:val="Normal"/>
        <w:spacing w:lineRule="auto" w:line="240" w:before="0" w:after="0"/>
        <w:jc w:val="both"/>
        <w:rPr>
          <w:rFonts w:cs="Arial"/>
          <w:b/>
          <w:b/>
          <w:sz w:val="20"/>
          <w:szCs w:val="20"/>
        </w:rPr>
      </w:pPr>
      <w:r>
        <w:rPr>
          <w:rFonts w:cs="Arial"/>
          <w:b/>
          <w:sz w:val="20"/>
          <w:szCs w:val="20"/>
        </w:rPr>
        <w:t xml:space="preserve">Los parques que están dentro del perímetro de un Lugar de Importancia Comunitaria son: </w:t>
      </w:r>
    </w:p>
    <w:p>
      <w:pPr>
        <w:pStyle w:val="Normal"/>
        <w:spacing w:lineRule="auto" w:line="240" w:before="0" w:after="0"/>
        <w:jc w:val="both"/>
        <w:rPr>
          <w:rFonts w:cs="Arial"/>
          <w:b/>
          <w:b/>
          <w:i/>
          <w:i/>
          <w:sz w:val="20"/>
          <w:szCs w:val="20"/>
          <w:u w:val="single"/>
        </w:rPr>
      </w:pPr>
      <w:r>
        <w:rPr>
          <w:rFonts w:cs="Arial"/>
          <w:b/>
          <w:sz w:val="20"/>
          <w:szCs w:val="20"/>
        </w:rPr>
        <w:t>Concejo III, Estrella I, Estrella II, Estrella III, Vacada I, Vacada II, Vacada III, Vacada IV, Vacada V, Vacada VI, Cabecero II, Cabecero III, Cabecero IV</w:t>
      </w:r>
    </w:p>
    <w:p>
      <w:pPr>
        <w:pStyle w:val="Normal"/>
        <w:spacing w:lineRule="auto" w:line="240" w:before="0" w:after="0"/>
        <w:jc w:val="both"/>
        <w:rPr>
          <w:b/>
          <w:b/>
          <w:sz w:val="20"/>
          <w:szCs w:val="20"/>
        </w:rPr>
      </w:pPr>
      <w:r>
        <w:rPr>
          <w:b/>
          <w:sz w:val="20"/>
          <w:szCs w:val="20"/>
        </w:rPr>
      </w:r>
    </w:p>
    <w:p>
      <w:pPr>
        <w:pStyle w:val="Ttulo1"/>
        <w:shd w:val="clear" w:color="auto" w:fill="FFFFFF"/>
        <w:spacing w:lineRule="auto" w:line="240" w:before="0" w:after="0"/>
        <w:jc w:val="both"/>
        <w:rPr>
          <w:rFonts w:ascii="Calibri" w:hAnsi="Calibri" w:asciiTheme="minorHAnsi" w:hAnsiTheme="minorHAnsi"/>
          <w:color w:val="auto"/>
          <w:sz w:val="20"/>
          <w:szCs w:val="20"/>
        </w:rPr>
      </w:pPr>
      <w:r>
        <w:rPr>
          <w:rFonts w:eastAsia="Calibri" w:cs="Arial" w:ascii="Calibri" w:hAnsi="Calibri" w:asciiTheme="minorHAnsi" w:hAnsiTheme="minorHAnsi"/>
          <w:bCs w:val="false"/>
          <w:color w:val="auto"/>
          <w:sz w:val="20"/>
          <w:szCs w:val="20"/>
        </w:rPr>
        <w:t xml:space="preserve">17.3. </w:t>
      </w:r>
      <w:r>
        <w:rPr>
          <w:rFonts w:ascii="Calibri" w:hAnsi="Calibri" w:asciiTheme="minorHAnsi" w:hAnsiTheme="minorHAnsi"/>
          <w:color w:val="auto"/>
          <w:sz w:val="20"/>
          <w:szCs w:val="20"/>
        </w:rPr>
        <w:t>Una vez más tenemos que recordar que el artículo 46.2. de la Ley 42/2007, de 13 de diciembre, del Patrimonio Natural y de la Biodiversidad establece que:</w:t>
      </w:r>
    </w:p>
    <w:p>
      <w:pPr>
        <w:pStyle w:val="Normal"/>
        <w:spacing w:lineRule="auto" w:line="240" w:before="0" w:after="0"/>
        <w:jc w:val="both"/>
        <w:rPr>
          <w:sz w:val="8"/>
          <w:szCs w:val="8"/>
        </w:rPr>
      </w:pPr>
      <w:r>
        <w:rPr>
          <w:sz w:val="8"/>
          <w:szCs w:val="8"/>
        </w:rPr>
      </w:r>
    </w:p>
    <w:p>
      <w:pPr>
        <w:pStyle w:val="Normal"/>
        <w:spacing w:lineRule="auto" w:line="240" w:before="0" w:after="0"/>
        <w:ind w:left="708" w:hanging="0"/>
        <w:jc w:val="both"/>
        <w:rPr>
          <w:rFonts w:cs="Arial"/>
          <w:b/>
          <w:b/>
          <w:i/>
          <w:i/>
          <w:sz w:val="20"/>
          <w:szCs w:val="20"/>
          <w:shd w:fill="FFFFFF" w:val="clear"/>
        </w:rPr>
      </w:pPr>
      <w:r>
        <w:rPr>
          <w:rFonts w:cs="Arial"/>
          <w:b/>
          <w:i/>
          <w:sz w:val="20"/>
          <w:szCs w:val="20"/>
          <w:shd w:fill="FFFFFF" w:val="clear"/>
        </w:rPr>
        <w:t>“</w:t>
      </w:r>
      <w:r>
        <w:rPr>
          <w:rFonts w:cs="Arial"/>
          <w:b/>
          <w:i/>
          <w:sz w:val="20"/>
          <w:szCs w:val="20"/>
          <w:shd w:fill="FFFFFF" w:val="clear"/>
        </w:rPr>
        <w:t xml:space="preserve">las Administraciones competentes tomarán las medidas apropiadas, en especial en dichos planes o instrumentos de gestión, para </w:t>
      </w:r>
      <w:r>
        <w:rPr>
          <w:rFonts w:cs="Arial"/>
          <w:b/>
          <w:i/>
          <w:sz w:val="20"/>
          <w:szCs w:val="20"/>
          <w:u w:val="single"/>
          <w:shd w:fill="FFFFFF" w:val="clear"/>
        </w:rPr>
        <w:t>evitar en los espacios de la Red Natura 2000 el deterioro de los hábitats naturales y de los hábitats de las especies, así como las alteraciones que repercutan en las especies que hayan motivado la designación de estas áreas</w:t>
      </w:r>
      <w:r>
        <w:rPr>
          <w:rFonts w:cs="Arial"/>
          <w:b/>
          <w:i/>
          <w:sz w:val="20"/>
          <w:szCs w:val="20"/>
          <w:shd w:fill="FFFFFF" w:val="clear"/>
        </w:rPr>
        <w:t>”</w:t>
      </w:r>
    </w:p>
    <w:p>
      <w:pPr>
        <w:pStyle w:val="Normal"/>
        <w:shd w:val="clear" w:color="auto" w:fill="FFFFFF" w:themeFill="background1"/>
        <w:spacing w:lineRule="auto" w:line="240" w:before="0" w:after="0"/>
        <w:jc w:val="both"/>
        <w:rPr>
          <w:rFonts w:eastAsia="Times New Roman" w:cs="Times New Roman"/>
          <w:b/>
          <w:b/>
          <w:bCs/>
          <w:sz w:val="20"/>
          <w:szCs w:val="20"/>
          <w:lang w:eastAsia="es-ES"/>
        </w:rPr>
      </w:pPr>
      <w:r>
        <w:rPr>
          <w:rFonts w:eastAsia="Times New Roman" w:cs="Times New Roman"/>
          <w:b/>
          <w:bCs/>
          <w:sz w:val="20"/>
          <w:szCs w:val="20"/>
          <w:lang w:eastAsia="es-ES"/>
        </w:rPr>
      </w:r>
    </w:p>
    <w:p>
      <w:pPr>
        <w:pStyle w:val="Normal"/>
        <w:shd w:val="clear" w:color="auto" w:fill="FFFFFF" w:themeFill="background1"/>
        <w:spacing w:lineRule="auto" w:line="240" w:before="0" w:after="0"/>
        <w:jc w:val="both"/>
        <w:rPr>
          <w:b/>
          <w:b/>
          <w:sz w:val="24"/>
          <w:szCs w:val="24"/>
        </w:rPr>
      </w:pPr>
      <w:r>
        <w:rPr>
          <w:b/>
          <w:sz w:val="20"/>
          <w:szCs w:val="20"/>
        </w:rPr>
        <w:t xml:space="preserve">18. </w:t>
      </w:r>
      <w:r>
        <w:rPr>
          <w:b/>
          <w:sz w:val="20"/>
          <w:szCs w:val="20"/>
          <w:u w:val="single"/>
        </w:rPr>
        <w:t xml:space="preserve">SE FORMULAN DECLARACIONES DE IMPACTO AMBIENTAL FAVORABLES PARA DOS PLANTAS FOTOVOLTAICAS Y 125 AEROGENERADORES, DE LOS CUALES 91 DE ELLOS EN </w:t>
      </w:r>
      <w:r>
        <w:rPr>
          <w:rFonts w:cs="Arial"/>
          <w:b/>
          <w:sz w:val="20"/>
          <w:szCs w:val="20"/>
          <w:u w:val="single"/>
        </w:rPr>
        <w:t>ZONAS DE SENSIBILIDAD MÁXIMA PARA LA ENERGÍA EÓLICA.</w:t>
      </w:r>
    </w:p>
    <w:p>
      <w:pPr>
        <w:pStyle w:val="NormalWeb"/>
        <w:shd w:val="clear" w:color="auto" w:fill="FFFFFF"/>
        <w:spacing w:beforeAutospacing="0" w:before="0" w:afterAutospacing="0" w:after="0"/>
        <w:jc w:val="both"/>
        <w:rPr>
          <w:rFonts w:ascii="Calibri" w:hAnsi="Calibri"/>
          <w:b/>
          <w:b/>
          <w:sz w:val="8"/>
          <w:szCs w:val="8"/>
        </w:rPr>
      </w:pPr>
      <w:r>
        <w:rPr>
          <w:rFonts w:ascii="Calibri" w:hAnsi="Calibri"/>
          <w:b/>
          <w:sz w:val="8"/>
          <w:szCs w:val="8"/>
        </w:rPr>
      </w:r>
    </w:p>
    <w:p>
      <w:pPr>
        <w:pStyle w:val="NormalWeb"/>
        <w:shd w:val="clear" w:color="auto" w:fill="FFFFFF"/>
        <w:spacing w:beforeAutospacing="0" w:before="0" w:afterAutospacing="0" w:after="0"/>
        <w:jc w:val="both"/>
        <w:rPr>
          <w:rFonts w:ascii="Calibri" w:hAnsi="Calibri"/>
          <w:b/>
          <w:b/>
          <w:sz w:val="20"/>
          <w:szCs w:val="20"/>
        </w:rPr>
      </w:pPr>
      <w:r>
        <w:rPr>
          <w:rFonts w:ascii="Calibri" w:hAnsi="Calibri"/>
          <w:b/>
          <w:sz w:val="20"/>
          <w:szCs w:val="20"/>
        </w:rPr>
        <w:t>18.1. El propio Ministerio elude hacer referencia tanto en las Declaraciones de Impacto como en las Autorizaciones al valor ambiental del territorio donde se pretenden implantar las centrales. Contrasta esta circunstancia con el hecho de que en otras muchas Declaraciones de impacto ambiental se hace constar la categoría de Zonas de Sensibilidad donde se encuentran las instalaciones.</w:t>
      </w:r>
    </w:p>
    <w:p>
      <w:pPr>
        <w:pStyle w:val="NormalWeb"/>
        <w:shd w:val="clear" w:color="auto" w:fill="FFFFFF"/>
        <w:spacing w:beforeAutospacing="0" w:before="0" w:afterAutospacing="0" w:after="0"/>
        <w:jc w:val="both"/>
        <w:rPr>
          <w:rFonts w:ascii="Calibri" w:hAnsi="Calibri"/>
          <w:b/>
          <w:b/>
          <w:sz w:val="20"/>
          <w:szCs w:val="20"/>
        </w:rPr>
      </w:pPr>
      <w:r>
        <w:rPr>
          <w:rFonts w:ascii="Calibri" w:hAnsi="Calibri"/>
          <w:b/>
          <w:sz w:val="20"/>
          <w:szCs w:val="20"/>
        </w:rPr>
      </w:r>
    </w:p>
    <w:p>
      <w:pPr>
        <w:pStyle w:val="NormalWeb"/>
        <w:shd w:val="clear" w:color="auto" w:fill="FFFFFF"/>
        <w:spacing w:beforeAutospacing="0" w:before="0" w:afterAutospacing="0" w:after="0"/>
        <w:jc w:val="both"/>
        <w:rPr>
          <w:rFonts w:ascii="Calibri" w:hAnsi="Calibri"/>
          <w:b/>
          <w:b/>
          <w:sz w:val="20"/>
          <w:szCs w:val="20"/>
        </w:rPr>
      </w:pPr>
      <w:r>
        <w:rPr>
          <w:rFonts w:ascii="Calibri" w:hAnsi="Calibri"/>
          <w:b/>
          <w:sz w:val="20"/>
          <w:szCs w:val="20"/>
        </w:rPr>
        <w:t>Si acudimos al Mapa de Zonas de Sensibilidad Ambiental nos encontramos con la siguiente realidad:</w:t>
      </w:r>
    </w:p>
    <w:p>
      <w:pPr>
        <w:pStyle w:val="NormalWeb"/>
        <w:shd w:val="clear" w:color="auto" w:fill="FFFFFF"/>
        <w:spacing w:beforeAutospacing="0" w:before="0" w:afterAutospacing="0" w:after="0"/>
        <w:jc w:val="center"/>
        <w:rPr>
          <w:rFonts w:ascii="Calibri" w:hAnsi="Calibri"/>
          <w:b/>
          <w:b/>
          <w:sz w:val="20"/>
          <w:szCs w:val="20"/>
        </w:rPr>
      </w:pPr>
      <w:r>
        <w:rPr/>
        <w:drawing>
          <wp:inline distT="0" distB="0" distL="0" distR="0">
            <wp:extent cx="4335780" cy="6245860"/>
            <wp:effectExtent l="0" t="0" r="0" b="0"/>
            <wp:docPr id="8" name="Imagen3" descr="E:\001.      T E R U E L\01.Batallas\11.12. Maestrazgo 2021\Alegaciones\Sensibilidad ambie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3" descr="E:\001.      T E R U E L\01.Batallas\11.12. Maestrazgo 2021\Alegaciones\Sensibilidad ambiental.JPG"/>
                    <pic:cNvPicPr>
                      <a:picLocks noChangeAspect="1" noChangeArrowheads="1"/>
                    </pic:cNvPicPr>
                  </pic:nvPicPr>
                  <pic:blipFill>
                    <a:blip r:embed="rId18"/>
                    <a:stretch>
                      <a:fillRect/>
                    </a:stretch>
                  </pic:blipFill>
                  <pic:spPr bwMode="auto">
                    <a:xfrm>
                      <a:off x="0" y="0"/>
                      <a:ext cx="4335780" cy="6245860"/>
                    </a:xfrm>
                    <a:prstGeom prst="rect">
                      <a:avLst/>
                    </a:prstGeom>
                  </pic:spPr>
                </pic:pic>
              </a:graphicData>
            </a:graphic>
          </wp:inline>
        </w:drawing>
      </w:r>
    </w:p>
    <w:p>
      <w:pPr>
        <w:pStyle w:val="NormalWeb"/>
        <w:shd w:val="clear" w:color="auto" w:fill="FFFFFF"/>
        <w:spacing w:beforeAutospacing="0" w:before="0" w:afterAutospacing="0" w:after="0"/>
        <w:jc w:val="both"/>
        <w:rPr>
          <w:rFonts w:ascii="Calibri" w:hAnsi="Calibri"/>
          <w:b/>
          <w:b/>
          <w:sz w:val="8"/>
          <w:szCs w:val="8"/>
        </w:rPr>
      </w:pPr>
      <w:r>
        <w:rPr>
          <w:rFonts w:ascii="Calibri" w:hAnsi="Calibri"/>
          <w:b/>
          <w:sz w:val="8"/>
          <w:szCs w:val="8"/>
        </w:rPr>
      </w:r>
    </w:p>
    <w:p>
      <w:pPr>
        <w:pStyle w:val="Normal1"/>
        <w:spacing w:lineRule="auto" w:line="240"/>
        <w:jc w:val="both"/>
        <w:rPr>
          <w:rFonts w:ascii="Calibri" w:hAnsi="Calibri" w:eastAsia="Calibri" w:cs="Calibri"/>
          <w:b/>
          <w:b/>
          <w:sz w:val="20"/>
          <w:szCs w:val="20"/>
        </w:rPr>
      </w:pPr>
      <w:r>
        <w:rPr>
          <w:rFonts w:eastAsia="Calibri" w:cs="Calibri" w:ascii="Calibri" w:hAnsi="Calibri"/>
          <w:b/>
          <w:sz w:val="20"/>
          <w:szCs w:val="20"/>
        </w:rPr>
        <w:t>Es decir, la mayoría de las instalaciones se proyectan dentro de Zonas de Sensibilidad Ambiental Máxima, sobre una zona especialmente “no recomendada” para su aprovechamiento eólico y fotovoltaico según el propio Ministerio.</w:t>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b/>
          <w:sz w:val="20"/>
          <w:szCs w:val="20"/>
        </w:rPr>
      </w:r>
    </w:p>
    <w:p>
      <w:pPr>
        <w:pStyle w:val="NormalWeb"/>
        <w:shd w:val="clear" w:color="auto" w:fill="FFFFFF"/>
        <w:spacing w:beforeAutospacing="0" w:before="0" w:afterAutospacing="0" w:after="0"/>
        <w:jc w:val="both"/>
        <w:rPr>
          <w:rFonts w:ascii="Calibri" w:hAnsi="Calibri" w:cs="Arial" w:asciiTheme="minorHAnsi" w:hAnsiTheme="minorHAnsi"/>
          <w:b/>
          <w:b/>
          <w:sz w:val="20"/>
          <w:szCs w:val="20"/>
          <w:u w:val="single"/>
        </w:rPr>
      </w:pPr>
      <w:r>
        <w:rPr>
          <w:rFonts w:cs="Arial" w:ascii="Calibri" w:hAnsi="Calibri" w:asciiTheme="minorHAnsi" w:hAnsiTheme="minorHAnsi"/>
          <w:b/>
          <w:sz w:val="20"/>
          <w:szCs w:val="20"/>
        </w:rPr>
        <w:t xml:space="preserve">18.2. La evaluación de impacto ambiental no valora en absoluto que las dos centrales fotovoltaicas y </w:t>
      </w:r>
      <w:r>
        <w:rPr>
          <w:rFonts w:cs="Arial" w:ascii="Calibri" w:hAnsi="Calibri" w:asciiTheme="minorHAnsi" w:hAnsiTheme="minorHAnsi"/>
          <w:b/>
          <w:sz w:val="20"/>
          <w:szCs w:val="20"/>
          <w:u w:val="single"/>
        </w:rPr>
        <w:t>once parques eólicos ocupan Zonas de sensibilidad máxima para la eólica</w:t>
      </w:r>
    </w:p>
    <w:p>
      <w:pPr>
        <w:pStyle w:val="NormalWeb"/>
        <w:shd w:val="clear" w:color="auto" w:fill="FFFFFF"/>
        <w:spacing w:beforeAutospacing="0" w:before="0" w:afterAutospacing="0" w:after="0"/>
        <w:jc w:val="both"/>
        <w:rPr>
          <w:rFonts w:ascii="Calibri" w:hAnsi="Calibri" w:cs="Arial" w:asciiTheme="minorHAnsi" w:hAnsiTheme="minorHAnsi"/>
          <w:b/>
          <w:b/>
          <w:sz w:val="20"/>
          <w:szCs w:val="20"/>
          <w:u w:val="single"/>
        </w:rPr>
      </w:pPr>
      <w:r>
        <w:rPr>
          <w:rFonts w:cs="Arial" w:ascii="Calibri" w:hAnsi="Calibri"/>
          <w:b/>
          <w:sz w:val="20"/>
          <w:szCs w:val="20"/>
          <w:u w:val="single"/>
        </w:rPr>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asciiTheme="minorHAnsi" w:hAnsiTheme="minorHAnsi"/>
          <w:b/>
          <w:sz w:val="20"/>
          <w:szCs w:val="20"/>
        </w:rPr>
        <w:t xml:space="preserve">¡Esto supone que 91 aerogeneradores se ubican dentro de una zona de sensibilidad máxima para la energía eólica! </w:t>
      </w:r>
    </w:p>
    <w:p>
      <w:pPr>
        <w:pStyle w:val="NormalWeb"/>
        <w:shd w:val="clear" w:color="auto" w:fill="FFFFFF"/>
        <w:spacing w:beforeAutospacing="0" w:before="0" w:afterAutospacing="0" w:after="0"/>
        <w:jc w:val="both"/>
        <w:rPr>
          <w:rFonts w:ascii="Calibri" w:hAnsi="Calibri" w:cs="Arial" w:asciiTheme="minorHAnsi" w:hAnsiTheme="minorHAnsi"/>
          <w:b/>
          <w:b/>
          <w:sz w:val="20"/>
          <w:szCs w:val="20"/>
          <w:u w:val="single"/>
        </w:rPr>
      </w:pPr>
      <w:r>
        <w:rPr>
          <w:rFonts w:cs="Arial" w:ascii="Calibri" w:hAnsi="Calibri"/>
          <w:b/>
          <w:sz w:val="20"/>
          <w:szCs w:val="20"/>
          <w:u w:val="single"/>
        </w:rPr>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asciiTheme="minorHAnsi" w:hAnsiTheme="minorHAnsi"/>
          <w:b/>
          <w:sz w:val="20"/>
          <w:szCs w:val="20"/>
          <w:u w:val="single"/>
        </w:rPr>
        <w:t>El 72% de los aerogeneradores se sitúan en Zonas de sensibilidad ambiental máxima</w:t>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b/>
          <w:sz w:val="20"/>
          <w:szCs w:val="20"/>
        </w:rPr>
      </w:r>
    </w:p>
    <w:p>
      <w:pPr>
        <w:pStyle w:val="Normal"/>
        <w:spacing w:lineRule="auto" w:line="240" w:before="0" w:after="0"/>
        <w:jc w:val="both"/>
        <w:rPr>
          <w:rFonts w:cs="Arial"/>
          <w:b/>
          <w:b/>
          <w:sz w:val="20"/>
          <w:szCs w:val="20"/>
        </w:rPr>
      </w:pPr>
      <w:r>
        <w:rPr>
          <w:rFonts w:cs="Arial"/>
          <w:b/>
          <w:sz w:val="20"/>
          <w:szCs w:val="20"/>
        </w:rPr>
        <w:t>18.3.</w:t>
      </w:r>
      <w:r>
        <w:rPr>
          <w:rFonts w:cs="Arial"/>
          <w:b/>
          <w:sz w:val="20"/>
          <w:szCs w:val="20"/>
          <w:shd w:fill="FFFFFF" w:val="clear"/>
        </w:rPr>
        <w:t xml:space="preserve"> </w:t>
      </w:r>
      <w:r>
        <w:rPr>
          <w:rFonts w:cs="Arial"/>
          <w:b/>
          <w:sz w:val="20"/>
          <w:szCs w:val="20"/>
        </w:rPr>
        <w:t>El Ministerio para la Transición Ecológica y el Reto Demográfico, a través de la Subdirección General de Evaluación Ambiental de la Dirección General de Calidad y Evaluación Ambiental, ha elaborado una herramienta que permite identificar las áreas del territorio nacional que presentan mayores condicionantes ambientales para la implantación de estos proyectos, mediante un modelo territorial que agrupe los principales factores ambientales, cuyo resultado es una zonificación de la sensibilidad ambiental del territorio.</w:t>
      </w:r>
    </w:p>
    <w:p>
      <w:pPr>
        <w:pStyle w:val="Normal"/>
        <w:spacing w:lineRule="auto" w:line="240" w:before="0" w:after="0"/>
        <w:jc w:val="both"/>
        <w:rPr>
          <w:rFonts w:cs="Arial"/>
          <w:b/>
          <w:b/>
          <w:sz w:val="20"/>
          <w:szCs w:val="20"/>
        </w:rPr>
      </w:pPr>
      <w:r>
        <w:rPr>
          <w:rFonts w:cs="Arial"/>
          <w:b/>
          <w:sz w:val="20"/>
          <w:szCs w:val="20"/>
        </w:rPr>
      </w:r>
    </w:p>
    <w:p>
      <w:pPr>
        <w:pStyle w:val="Normal"/>
        <w:spacing w:lineRule="auto" w:line="240" w:before="0" w:after="0"/>
        <w:jc w:val="both"/>
        <w:rPr>
          <w:rFonts w:cs="Arial"/>
          <w:b/>
          <w:b/>
          <w:sz w:val="20"/>
          <w:szCs w:val="20"/>
          <w:shd w:fill="FFFFFF" w:val="clear"/>
        </w:rPr>
      </w:pPr>
      <w:r>
        <w:rPr>
          <w:rFonts w:cs="Arial"/>
          <w:b/>
          <w:sz w:val="20"/>
          <w:szCs w:val="20"/>
          <w:shd w:fill="FFFFFF" w:val="clear"/>
        </w:rPr>
        <w:t>La herramienta de zonificación ambiental para energías renovables, elaborada por el Ministerio para la Transición Ecológica y el Reto Demográfico, excluye esta zona tanto para su aprovechamiento eólico como para su aprovechamiento solar.</w:t>
      </w:r>
    </w:p>
    <w:p>
      <w:pPr>
        <w:pStyle w:val="Normal"/>
        <w:spacing w:lineRule="auto" w:line="240" w:before="0" w:after="0"/>
        <w:jc w:val="both"/>
        <w:rPr>
          <w:rFonts w:cs="Arial"/>
          <w:b/>
          <w:b/>
          <w:sz w:val="20"/>
          <w:szCs w:val="20"/>
          <w:shd w:fill="FFFFFF" w:val="clear"/>
        </w:rPr>
      </w:pPr>
      <w:r>
        <w:rPr>
          <w:rFonts w:cs="Arial"/>
          <w:b/>
          <w:sz w:val="20"/>
          <w:szCs w:val="20"/>
          <w:shd w:fill="FFFFFF" w:val="clear"/>
        </w:rPr>
      </w:r>
    </w:p>
    <w:p>
      <w:pPr>
        <w:pStyle w:val="Normal"/>
        <w:spacing w:lineRule="auto" w:line="240" w:before="0" w:after="0"/>
        <w:jc w:val="both"/>
        <w:rPr>
          <w:rFonts w:cs="Arial"/>
          <w:b/>
          <w:b/>
          <w:sz w:val="20"/>
          <w:szCs w:val="20"/>
        </w:rPr>
      </w:pPr>
      <w:r>
        <w:rPr>
          <w:rFonts w:cs="Arial"/>
          <w:b/>
          <w:sz w:val="20"/>
          <w:szCs w:val="20"/>
        </w:rPr>
        <w:t>La zona elegida para la instalación de 11 de los 22 parques eólicos está especialmente “NO RECOMENDADA” para su aprovechamiento eólico por la Subdirección General de Evaluación Ambiental de la Dirección General de Calidad y Evaluación Ambiental (Ministerio para la Transición Ecológica y el Reto Demográfico) al tratarse de una Zona de Sensibilidad Ambiental Máxima.</w:t>
      </w:r>
    </w:p>
    <w:p>
      <w:pPr>
        <w:pStyle w:val="Normal"/>
        <w:shd w:val="clear" w:color="auto" w:fill="FFFFFF"/>
        <w:spacing w:lineRule="auto" w:line="240" w:before="0" w:after="0"/>
        <w:jc w:val="both"/>
        <w:rPr>
          <w:rFonts w:eastAsia="Times New Roman" w:cs="Arial"/>
          <w:b/>
          <w:b/>
          <w:strike/>
          <w:sz w:val="8"/>
          <w:szCs w:val="8"/>
          <w:lang w:eastAsia="es-ES"/>
        </w:rPr>
      </w:pPr>
      <w:r>
        <w:rPr>
          <w:rFonts w:eastAsia="Times New Roman" w:cs="Arial"/>
          <w:b/>
          <w:strike/>
          <w:sz w:val="8"/>
          <w:szCs w:val="8"/>
          <w:lang w:eastAsia="es-ES"/>
        </w:rPr>
      </w:r>
    </w:p>
    <w:p>
      <w:pPr>
        <w:pStyle w:val="Normal"/>
        <w:shd w:val="clear" w:color="auto" w:fill="FFFFFF"/>
        <w:spacing w:lineRule="auto" w:line="240" w:before="0" w:after="0"/>
        <w:jc w:val="both"/>
        <w:rPr>
          <w:rFonts w:cs="Arial"/>
          <w:b/>
          <w:b/>
          <w:sz w:val="20"/>
          <w:szCs w:val="20"/>
        </w:rPr>
      </w:pPr>
      <w:hyperlink r:id="rId19">
        <w:r>
          <w:rPr>
            <w:rStyle w:val="EnlacedeInternet"/>
            <w:rFonts w:cs="Arial"/>
            <w:b/>
            <w:color w:val="auto"/>
            <w:sz w:val="20"/>
            <w:szCs w:val="20"/>
          </w:rPr>
          <w:t>https://www.miteco.gob.es/es/calidad-y-evaluacion-ambiental/temas/evaluacion-ambiental/documento3mapaclasificadoeol_tcm30-518031.pdf</w:t>
        </w:r>
      </w:hyperlink>
    </w:p>
    <w:p>
      <w:pPr>
        <w:pStyle w:val="Normal"/>
        <w:shd w:val="clear" w:color="auto" w:fill="FFFFFF"/>
        <w:spacing w:lineRule="auto" w:line="240" w:before="0" w:after="0"/>
        <w:jc w:val="both"/>
        <w:rPr>
          <w:rFonts w:cs="Arial"/>
          <w:b/>
          <w:b/>
          <w:sz w:val="20"/>
          <w:szCs w:val="20"/>
        </w:rPr>
      </w:pPr>
      <w:r>
        <w:rPr>
          <w:rFonts w:cs="Arial"/>
          <w:b/>
          <w:sz w:val="20"/>
          <w:szCs w:val="20"/>
        </w:rPr>
      </w:r>
    </w:p>
    <w:p>
      <w:pPr>
        <w:pStyle w:val="Normal"/>
        <w:spacing w:lineRule="auto" w:line="240" w:before="0" w:after="0"/>
        <w:jc w:val="both"/>
        <w:rPr>
          <w:rFonts w:cs="Arial"/>
          <w:b/>
          <w:b/>
          <w:sz w:val="20"/>
          <w:szCs w:val="20"/>
        </w:rPr>
      </w:pPr>
      <w:r>
        <w:rPr>
          <w:rFonts w:cs="Arial"/>
          <w:b/>
          <w:sz w:val="20"/>
          <w:szCs w:val="20"/>
        </w:rPr>
        <w:t>Del mismo modo, las dos macroplantas fotovoltaicas también se proyectan sobre una zona especialmente “NO RECOMENDADA” para su aprovechamiento fotovoltaico por la Subdirección General de Evaluación Ambiental de la Dirección General de Calidad y Evaluación Ambiental (Ministerio para la Transición Ecológica y el Reto Demográfico) al tratarse de una Zona de Sensibilidad Ambiental Máxima.</w:t>
      </w:r>
    </w:p>
    <w:p>
      <w:pPr>
        <w:pStyle w:val="Normal"/>
        <w:shd w:val="clear" w:color="auto" w:fill="FFFFFF"/>
        <w:spacing w:lineRule="auto" w:line="240" w:before="0" w:after="0"/>
        <w:jc w:val="both"/>
        <w:rPr>
          <w:rFonts w:cs="Arial"/>
          <w:b/>
          <w:b/>
          <w:sz w:val="8"/>
          <w:szCs w:val="8"/>
        </w:rPr>
      </w:pPr>
      <w:r>
        <w:rPr>
          <w:rFonts w:cs="Arial"/>
          <w:b/>
          <w:sz w:val="8"/>
          <w:szCs w:val="8"/>
        </w:rPr>
      </w:r>
    </w:p>
    <w:p>
      <w:pPr>
        <w:pStyle w:val="Normal"/>
        <w:spacing w:lineRule="auto" w:line="240" w:before="0" w:after="0"/>
        <w:jc w:val="both"/>
        <w:rPr>
          <w:rFonts w:cs="Arial"/>
          <w:b/>
          <w:b/>
          <w:i/>
          <w:i/>
          <w:sz w:val="20"/>
          <w:szCs w:val="20"/>
        </w:rPr>
      </w:pPr>
      <w:hyperlink r:id="rId20">
        <w:r>
          <w:rPr>
            <w:rStyle w:val="EnlacedeInternet"/>
            <w:rFonts w:cs="Arial"/>
            <w:b/>
            <w:color w:val="auto"/>
            <w:sz w:val="20"/>
            <w:szCs w:val="20"/>
          </w:rPr>
          <w:t>https://www.miteco.gob.es/es/calidad-y-evaluacion-ambiental/temas/evaluacion-ambiental/documento4mapaclasificadoftv_tcm30-518033.pdf</w:t>
        </w:r>
      </w:hyperlink>
    </w:p>
    <w:p>
      <w:pPr>
        <w:pStyle w:val="Normal"/>
        <w:shd w:val="clear" w:color="auto" w:fill="FFFFFF"/>
        <w:spacing w:lineRule="auto" w:line="240" w:before="0" w:after="0"/>
        <w:jc w:val="both"/>
        <w:rPr>
          <w:rFonts w:eastAsia="Times New Roman" w:cs="Arial"/>
          <w:b/>
          <w:b/>
          <w:sz w:val="20"/>
          <w:szCs w:val="20"/>
          <w:lang w:eastAsia="es-ES"/>
        </w:rPr>
      </w:pPr>
      <w:r>
        <w:rPr>
          <w:rFonts w:eastAsia="Times New Roman" w:cs="Arial"/>
          <w:b/>
          <w:sz w:val="20"/>
          <w:szCs w:val="20"/>
          <w:lang w:eastAsia="es-ES"/>
        </w:rPr>
      </w:r>
    </w:p>
    <w:p>
      <w:pPr>
        <w:pStyle w:val="Normal"/>
        <w:spacing w:lineRule="auto" w:line="240" w:before="0" w:after="0"/>
        <w:jc w:val="both"/>
        <w:rPr>
          <w:rFonts w:cs="Arial"/>
          <w:b/>
          <w:b/>
          <w:sz w:val="20"/>
          <w:szCs w:val="20"/>
        </w:rPr>
      </w:pPr>
      <w:r>
        <w:rPr>
          <w:rFonts w:cs="Arial"/>
          <w:b/>
          <w:sz w:val="20"/>
          <w:szCs w:val="20"/>
        </w:rPr>
        <w:t>18.4. Dice la página del MITECO:</w:t>
      </w:r>
    </w:p>
    <w:p>
      <w:pPr>
        <w:pStyle w:val="Normal"/>
        <w:spacing w:lineRule="auto" w:line="240" w:before="0" w:after="0"/>
        <w:jc w:val="both"/>
        <w:rPr>
          <w:rFonts w:cs="Arial"/>
          <w:b/>
          <w:b/>
          <w:sz w:val="8"/>
          <w:szCs w:val="8"/>
        </w:rPr>
      </w:pPr>
      <w:r>
        <w:rPr>
          <w:rFonts w:cs="Arial"/>
          <w:b/>
          <w:sz w:val="8"/>
          <w:szCs w:val="8"/>
        </w:rPr>
      </w:r>
    </w:p>
    <w:p>
      <w:pPr>
        <w:pStyle w:val="NormalWeb"/>
        <w:shd w:val="clear" w:color="auto" w:fill="FFFFFF"/>
        <w:spacing w:beforeAutospacing="0" w:before="0" w:afterAutospacing="0" w:after="0"/>
        <w:ind w:left="708" w:hanging="0"/>
        <w:jc w:val="both"/>
        <w:rPr>
          <w:rFonts w:ascii="Calibri" w:hAnsi="Calibri" w:cs="Arial" w:asciiTheme="minorHAnsi" w:hAnsiTheme="minorHAnsi"/>
          <w:b/>
          <w:b/>
          <w:i/>
          <w:i/>
          <w:sz w:val="20"/>
          <w:szCs w:val="20"/>
        </w:rPr>
      </w:pPr>
      <w:r>
        <w:rPr>
          <w:rFonts w:cs="Arial" w:ascii="Calibri" w:hAnsi="Calibri" w:asciiTheme="minorHAnsi" w:hAnsiTheme="minorHAnsi"/>
          <w:b/>
          <w:i/>
          <w:sz w:val="20"/>
          <w:szCs w:val="20"/>
        </w:rPr>
        <w:t>“</w:t>
      </w:r>
      <w:r>
        <w:rPr>
          <w:rFonts w:cs="Arial" w:ascii="Calibri" w:hAnsi="Calibri" w:asciiTheme="minorHAnsi" w:hAnsiTheme="minorHAnsi"/>
          <w:b/>
          <w:i/>
          <w:sz w:val="20"/>
          <w:szCs w:val="20"/>
        </w:rPr>
        <w:t>La implantación de este tipo de instalaciones tiene una repercusión sobre el medio ambiente, cuya evaluación es necesaria en el marco de la legislación comunitaria, estatal y autonómica de evaluación ambiental.</w:t>
      </w:r>
    </w:p>
    <w:p>
      <w:pPr>
        <w:pStyle w:val="NormalWeb"/>
        <w:shd w:val="clear" w:color="auto" w:fill="FFFFFF"/>
        <w:spacing w:beforeAutospacing="0" w:before="0" w:afterAutospacing="0" w:after="0"/>
        <w:ind w:left="708" w:hanging="0"/>
        <w:jc w:val="both"/>
        <w:rPr>
          <w:rFonts w:ascii="Calibri" w:hAnsi="Calibri" w:cs="Arial" w:asciiTheme="minorHAnsi" w:hAnsiTheme="minorHAnsi"/>
          <w:b/>
          <w:b/>
          <w:i/>
          <w:i/>
          <w:sz w:val="8"/>
          <w:szCs w:val="8"/>
        </w:rPr>
      </w:pPr>
      <w:r>
        <w:rPr>
          <w:rFonts w:cs="Arial" w:ascii="Calibri" w:hAnsi="Calibri"/>
          <w:b/>
          <w:i/>
          <w:sz w:val="8"/>
          <w:szCs w:val="8"/>
        </w:rPr>
      </w:r>
    </w:p>
    <w:p>
      <w:pPr>
        <w:pStyle w:val="NormalWeb"/>
        <w:shd w:val="clear" w:color="auto" w:fill="FFFFFF"/>
        <w:spacing w:beforeAutospacing="0" w:before="0" w:afterAutospacing="0" w:after="0"/>
        <w:ind w:left="708" w:hanging="0"/>
        <w:jc w:val="both"/>
        <w:rPr>
          <w:rFonts w:ascii="Calibri" w:hAnsi="Calibri" w:cs="Arial" w:asciiTheme="minorHAnsi" w:hAnsiTheme="minorHAnsi"/>
          <w:b/>
          <w:b/>
          <w:i/>
          <w:i/>
          <w:sz w:val="20"/>
          <w:szCs w:val="20"/>
        </w:rPr>
      </w:pPr>
      <w:r>
        <w:rPr>
          <w:rFonts w:cs="Arial" w:ascii="Calibri" w:hAnsi="Calibri" w:asciiTheme="minorHAnsi" w:hAnsiTheme="minorHAnsi"/>
          <w:b/>
          <w:i/>
          <w:sz w:val="20"/>
          <w:szCs w:val="20"/>
        </w:rPr>
        <w:t xml:space="preserve">Este nuevo escenario ha puesto de manifiesto la </w:t>
      </w:r>
      <w:r>
        <w:rPr>
          <w:rFonts w:cs="Arial" w:ascii="Calibri" w:hAnsi="Calibri" w:asciiTheme="minorHAnsi" w:hAnsiTheme="minorHAnsi"/>
          <w:b/>
          <w:i/>
          <w:sz w:val="20"/>
          <w:szCs w:val="20"/>
          <w:u w:val="single"/>
        </w:rPr>
        <w:t>necesidad de disponer de un recurso que ayude a la toma de decisiones estratégicas sobre la ubicación de estas infraestructuras energéticas,</w:t>
      </w:r>
      <w:r>
        <w:rPr>
          <w:rFonts w:cs="Arial" w:ascii="Calibri" w:hAnsi="Calibri" w:asciiTheme="minorHAnsi" w:hAnsiTheme="minorHAnsi"/>
          <w:b/>
          <w:i/>
          <w:sz w:val="20"/>
          <w:szCs w:val="20"/>
        </w:rPr>
        <w:t xml:space="preserve"> que implican un importante uso de territorio y pueden generar impactos ambientales significativos”.(…)</w:t>
      </w:r>
    </w:p>
    <w:p>
      <w:pPr>
        <w:pStyle w:val="NormalWeb"/>
        <w:shd w:val="clear" w:color="auto" w:fill="FFFFFF"/>
        <w:spacing w:beforeAutospacing="0" w:before="0" w:afterAutospacing="0" w:after="0"/>
        <w:ind w:left="708" w:hanging="0"/>
        <w:jc w:val="both"/>
        <w:rPr>
          <w:rFonts w:ascii="Calibri" w:hAnsi="Calibri" w:cs="Arial" w:asciiTheme="minorHAnsi" w:hAnsiTheme="minorHAnsi"/>
          <w:b/>
          <w:b/>
          <w:i/>
          <w:i/>
          <w:sz w:val="8"/>
          <w:szCs w:val="8"/>
        </w:rPr>
      </w:pPr>
      <w:r>
        <w:rPr>
          <w:rFonts w:cs="Arial" w:ascii="Calibri" w:hAnsi="Calibri"/>
          <w:b/>
          <w:i/>
          <w:sz w:val="8"/>
          <w:szCs w:val="8"/>
        </w:rPr>
      </w:r>
    </w:p>
    <w:p>
      <w:pPr>
        <w:pStyle w:val="NormalWeb"/>
        <w:shd w:val="clear" w:color="auto" w:fill="FFFFFF"/>
        <w:spacing w:beforeAutospacing="0" w:before="0" w:afterAutospacing="0" w:after="0"/>
        <w:ind w:left="708" w:hanging="0"/>
        <w:jc w:val="both"/>
        <w:rPr>
          <w:rFonts w:ascii="Calibri" w:hAnsi="Calibri" w:cs="Arial" w:asciiTheme="minorHAnsi" w:hAnsiTheme="minorHAnsi"/>
          <w:b/>
          <w:b/>
          <w:sz w:val="20"/>
          <w:szCs w:val="20"/>
        </w:rPr>
      </w:pPr>
      <w:r>
        <w:rPr>
          <w:rFonts w:ascii="Calibri" w:hAnsi="Calibri" w:asciiTheme="minorHAnsi" w:hAnsiTheme="minorHAnsi"/>
          <w:b/>
          <w:i/>
          <w:sz w:val="20"/>
          <w:szCs w:val="20"/>
          <w:shd w:fill="FFFFFF" w:val="clear"/>
        </w:rPr>
        <w:t>“</w:t>
      </w:r>
      <w:r>
        <w:rPr>
          <w:rFonts w:ascii="Calibri" w:hAnsi="Calibri" w:asciiTheme="minorHAnsi" w:hAnsiTheme="minorHAnsi"/>
          <w:b/>
          <w:i/>
          <w:sz w:val="20"/>
          <w:szCs w:val="20"/>
          <w:shd w:fill="FFFFFF" w:val="clear"/>
        </w:rPr>
        <w:t>La herramienta de zonificación ambiental para energías renovables consiste en dos capas de información (una para energía eólica y otra para energía fotovoltaica) que muestran el </w:t>
      </w:r>
      <w:r>
        <w:rPr>
          <w:rStyle w:val="Strong"/>
          <w:rFonts w:eastAsia="" w:ascii="Calibri" w:hAnsi="Calibri" w:asciiTheme="minorHAnsi" w:eastAsiaTheme="majorEastAsia" w:hAnsiTheme="minorHAnsi"/>
          <w:i/>
          <w:sz w:val="20"/>
          <w:szCs w:val="20"/>
          <w:shd w:fill="FFFFFF" w:val="clear"/>
        </w:rPr>
        <w:t>valor del índice de sensibilidad ambiental</w:t>
      </w:r>
      <w:r>
        <w:rPr>
          <w:rFonts w:ascii="Calibri" w:hAnsi="Calibri" w:asciiTheme="minorHAnsi" w:hAnsiTheme="minorHAnsi"/>
          <w:b/>
          <w:i/>
          <w:sz w:val="20"/>
          <w:szCs w:val="20"/>
          <w:shd w:fill="FFFFFF" w:val="clear"/>
        </w:rPr>
        <w:t xml:space="preserve"> existente en cada punto del mapa, y los indicadores ambientales asociados a ese punto”(…) Existen </w:t>
      </w:r>
      <w:r>
        <w:rPr>
          <w:rStyle w:val="Strong"/>
          <w:rFonts w:eastAsia="" w:cs="Arial" w:ascii="Calibri" w:hAnsi="Calibri" w:asciiTheme="minorHAnsi" w:eastAsiaTheme="majorEastAsia" w:hAnsiTheme="minorHAnsi"/>
          <w:i/>
          <w:sz w:val="20"/>
          <w:szCs w:val="20"/>
        </w:rPr>
        <w:t>5 clases de sensibilidad ambiental</w:t>
      </w:r>
      <w:r>
        <w:rPr>
          <w:rFonts w:cs="Arial" w:ascii="Calibri" w:hAnsi="Calibri" w:asciiTheme="minorHAnsi" w:hAnsiTheme="minorHAnsi"/>
          <w:i/>
          <w:sz w:val="20"/>
          <w:szCs w:val="20"/>
        </w:rPr>
        <w:t> </w:t>
      </w:r>
      <w:r>
        <w:rPr>
          <w:rFonts w:cs="Arial" w:ascii="Calibri" w:hAnsi="Calibri" w:asciiTheme="minorHAnsi" w:hAnsiTheme="minorHAnsi"/>
          <w:b/>
          <w:i/>
          <w:sz w:val="20"/>
          <w:szCs w:val="20"/>
        </w:rPr>
        <w:t>(Máxima, Muy alta, Alta, Moderada y Baja) para cada tipología de proyecto analizada”</w:t>
      </w:r>
    </w:p>
    <w:p>
      <w:pPr>
        <w:pStyle w:val="Normal"/>
        <w:spacing w:lineRule="auto" w:line="240" w:before="0" w:after="0"/>
        <w:ind w:left="708" w:hanging="0"/>
        <w:jc w:val="both"/>
        <w:rPr>
          <w:rFonts w:cs="Arial"/>
          <w:b/>
          <w:b/>
          <w:i/>
          <w:i/>
          <w:sz w:val="8"/>
          <w:szCs w:val="8"/>
        </w:rPr>
      </w:pPr>
      <w:r>
        <w:rPr>
          <w:rFonts w:cs="Arial"/>
          <w:b/>
          <w:i/>
          <w:sz w:val="20"/>
          <w:szCs w:val="20"/>
        </w:rPr>
        <w:t xml:space="preserve"> </w:t>
      </w:r>
    </w:p>
    <w:p>
      <w:pPr>
        <w:pStyle w:val="Normal"/>
        <w:spacing w:lineRule="auto" w:line="240" w:before="0" w:after="0"/>
        <w:ind w:left="708" w:hanging="0"/>
        <w:jc w:val="both"/>
        <w:rPr>
          <w:rFonts w:cs="Arial"/>
          <w:b/>
          <w:b/>
          <w:i/>
          <w:i/>
          <w:sz w:val="20"/>
          <w:szCs w:val="20"/>
        </w:rPr>
      </w:pPr>
      <w:hyperlink r:id="rId21">
        <w:r>
          <w:rPr>
            <w:rStyle w:val="EnlacedeInternet"/>
            <w:rFonts w:cs="Arial"/>
            <w:b/>
            <w:i/>
            <w:color w:val="auto"/>
            <w:sz w:val="20"/>
            <w:szCs w:val="20"/>
          </w:rPr>
          <w:t>https://www.miteco.gob.es/es/calidad-y-evaluacion-ambiental/temas/evaluacion-ambiental/zonificacion_ambiental_energias_renovables.aspx</w:t>
        </w:r>
      </w:hyperlink>
    </w:p>
    <w:p>
      <w:pPr>
        <w:pStyle w:val="Normal"/>
        <w:shd w:val="clear" w:color="auto" w:fill="FFFFFF"/>
        <w:spacing w:lineRule="auto" w:line="240" w:before="0" w:after="0"/>
        <w:jc w:val="both"/>
        <w:rPr>
          <w:rFonts w:eastAsia="Times New Roman" w:cs="Arial"/>
          <w:b/>
          <w:b/>
          <w:sz w:val="20"/>
          <w:szCs w:val="20"/>
          <w:lang w:eastAsia="es-ES"/>
        </w:rPr>
      </w:pPr>
      <w:r>
        <w:rPr>
          <w:rFonts w:eastAsia="Times New Roman" w:cs="Arial"/>
          <w:b/>
          <w:sz w:val="20"/>
          <w:szCs w:val="20"/>
          <w:lang w:eastAsia="es-ES"/>
        </w:rPr>
      </w:r>
    </w:p>
    <w:p>
      <w:pPr>
        <w:pStyle w:val="Normal"/>
        <w:shd w:val="clear" w:color="auto" w:fill="FFFFFF"/>
        <w:spacing w:lineRule="auto" w:line="240" w:before="0" w:after="0"/>
        <w:jc w:val="both"/>
        <w:rPr>
          <w:rFonts w:cs="Arial"/>
          <w:b/>
          <w:b/>
          <w:sz w:val="20"/>
          <w:szCs w:val="20"/>
        </w:rPr>
      </w:pPr>
      <w:r>
        <w:rPr>
          <w:rFonts w:cs="Arial"/>
          <w:b/>
          <w:sz w:val="20"/>
          <w:szCs w:val="20"/>
        </w:rPr>
        <w:t>18.5. Según estas recomendaciones del Ministerio, once de los parques eólicos estarían proyectados sobre una zona de sensibilidad ambiental máxima, y por tanto se trataría de un emplazamiento “NO RECOMENDADO”. Estos 11 parques eólicos serían:</w:t>
      </w:r>
    </w:p>
    <w:p>
      <w:pPr>
        <w:pStyle w:val="Normal"/>
        <w:shd w:val="clear" w:color="auto" w:fill="FFFFFF"/>
        <w:spacing w:lineRule="auto" w:line="240" w:before="0" w:after="0"/>
        <w:jc w:val="both"/>
        <w:rPr>
          <w:rFonts w:cs="Arial"/>
          <w:b/>
          <w:b/>
          <w:sz w:val="8"/>
          <w:szCs w:val="8"/>
        </w:rPr>
      </w:pPr>
      <w:r>
        <w:rPr>
          <w:rFonts w:cs="Arial"/>
          <w:b/>
          <w:sz w:val="8"/>
          <w:szCs w:val="8"/>
        </w:rPr>
      </w:r>
    </w:p>
    <w:p>
      <w:pPr>
        <w:pStyle w:val="Normal"/>
        <w:shd w:val="clear" w:color="auto" w:fill="FFFFFF"/>
        <w:spacing w:lineRule="auto" w:line="240" w:before="0" w:after="0"/>
        <w:ind w:left="1416" w:hanging="0"/>
        <w:jc w:val="both"/>
        <w:rPr>
          <w:rFonts w:cs="Arial"/>
          <w:b/>
          <w:b/>
          <w:sz w:val="20"/>
          <w:szCs w:val="20"/>
        </w:rPr>
      </w:pPr>
      <w:r>
        <w:rPr>
          <w:rFonts w:cs="Arial"/>
          <w:b/>
          <w:sz w:val="20"/>
          <w:szCs w:val="20"/>
        </w:rPr>
        <w:t>-Cabecero 2</w:t>
      </w:r>
    </w:p>
    <w:p>
      <w:pPr>
        <w:pStyle w:val="Normal"/>
        <w:shd w:val="clear" w:color="auto" w:fill="FFFFFF"/>
        <w:spacing w:lineRule="auto" w:line="240" w:before="0" w:after="0"/>
        <w:ind w:left="1416" w:hanging="0"/>
        <w:jc w:val="both"/>
        <w:rPr>
          <w:rFonts w:cs="Arial"/>
          <w:b/>
          <w:b/>
          <w:sz w:val="20"/>
          <w:szCs w:val="20"/>
        </w:rPr>
      </w:pPr>
      <w:r>
        <w:rPr>
          <w:rFonts w:cs="Arial"/>
          <w:b/>
          <w:sz w:val="20"/>
          <w:szCs w:val="20"/>
        </w:rPr>
        <w:t>-Concejo 2</w:t>
      </w:r>
    </w:p>
    <w:p>
      <w:pPr>
        <w:pStyle w:val="Normal"/>
        <w:shd w:val="clear" w:color="auto" w:fill="FFFFFF"/>
        <w:spacing w:lineRule="auto" w:line="240" w:before="0" w:after="0"/>
        <w:ind w:left="1416" w:hanging="0"/>
        <w:jc w:val="both"/>
        <w:rPr>
          <w:rFonts w:cs="Arial"/>
          <w:b/>
          <w:b/>
          <w:sz w:val="20"/>
          <w:szCs w:val="20"/>
        </w:rPr>
      </w:pPr>
      <w:r>
        <w:rPr>
          <w:rFonts w:cs="Arial"/>
          <w:b/>
          <w:sz w:val="20"/>
          <w:szCs w:val="20"/>
        </w:rPr>
        <w:t>-Vacada 1</w:t>
      </w:r>
    </w:p>
    <w:p>
      <w:pPr>
        <w:pStyle w:val="Normal"/>
        <w:shd w:val="clear" w:color="auto" w:fill="FFFFFF"/>
        <w:spacing w:lineRule="auto" w:line="240" w:before="0" w:after="0"/>
        <w:ind w:left="1416" w:hanging="0"/>
        <w:jc w:val="both"/>
        <w:rPr>
          <w:rFonts w:cs="Arial"/>
          <w:b/>
          <w:b/>
          <w:sz w:val="20"/>
          <w:szCs w:val="20"/>
        </w:rPr>
      </w:pPr>
      <w:r>
        <w:rPr>
          <w:rFonts w:cs="Arial"/>
          <w:b/>
          <w:sz w:val="20"/>
          <w:szCs w:val="20"/>
        </w:rPr>
        <w:t>-Vacada 2</w:t>
      </w:r>
    </w:p>
    <w:p>
      <w:pPr>
        <w:pStyle w:val="Normal"/>
        <w:shd w:val="clear" w:color="auto" w:fill="FFFFFF"/>
        <w:spacing w:lineRule="auto" w:line="240" w:before="0" w:after="0"/>
        <w:ind w:left="1416" w:hanging="0"/>
        <w:jc w:val="both"/>
        <w:rPr>
          <w:rFonts w:cs="Arial"/>
          <w:b/>
          <w:b/>
          <w:sz w:val="20"/>
          <w:szCs w:val="20"/>
        </w:rPr>
      </w:pPr>
      <w:r>
        <w:rPr>
          <w:rFonts w:cs="Arial"/>
          <w:b/>
          <w:sz w:val="20"/>
          <w:szCs w:val="20"/>
        </w:rPr>
        <w:t>-Vacada 3</w:t>
      </w:r>
    </w:p>
    <w:p>
      <w:pPr>
        <w:pStyle w:val="Normal"/>
        <w:shd w:val="clear" w:color="auto" w:fill="FFFFFF"/>
        <w:spacing w:lineRule="auto" w:line="240" w:before="0" w:after="0"/>
        <w:ind w:left="1416" w:hanging="0"/>
        <w:jc w:val="both"/>
        <w:rPr>
          <w:rFonts w:cs="Arial"/>
          <w:b/>
          <w:b/>
          <w:sz w:val="20"/>
          <w:szCs w:val="20"/>
        </w:rPr>
      </w:pPr>
      <w:r>
        <w:rPr>
          <w:rFonts w:cs="Arial"/>
          <w:b/>
          <w:sz w:val="20"/>
          <w:szCs w:val="20"/>
        </w:rPr>
        <w:t>-Vacada 4</w:t>
      </w:r>
    </w:p>
    <w:p>
      <w:pPr>
        <w:pStyle w:val="Normal"/>
        <w:shd w:val="clear" w:color="auto" w:fill="FFFFFF"/>
        <w:spacing w:lineRule="auto" w:line="240" w:before="0" w:after="0"/>
        <w:ind w:left="1416" w:hanging="0"/>
        <w:jc w:val="both"/>
        <w:rPr>
          <w:rFonts w:cs="Arial"/>
          <w:b/>
          <w:b/>
          <w:sz w:val="20"/>
          <w:szCs w:val="20"/>
        </w:rPr>
      </w:pPr>
      <w:r>
        <w:rPr>
          <w:rFonts w:cs="Arial"/>
          <w:b/>
          <w:sz w:val="20"/>
          <w:szCs w:val="20"/>
        </w:rPr>
        <w:t>-Vacada 6</w:t>
      </w:r>
    </w:p>
    <w:p>
      <w:pPr>
        <w:pStyle w:val="Normal"/>
        <w:shd w:val="clear" w:color="auto" w:fill="FFFFFF"/>
        <w:spacing w:lineRule="auto" w:line="240" w:before="0" w:after="0"/>
        <w:ind w:left="1416" w:hanging="0"/>
        <w:jc w:val="both"/>
        <w:rPr>
          <w:rFonts w:cs="Arial"/>
          <w:b/>
          <w:b/>
          <w:sz w:val="20"/>
          <w:szCs w:val="20"/>
        </w:rPr>
      </w:pPr>
      <w:r>
        <w:rPr>
          <w:rFonts w:cs="Arial"/>
          <w:b/>
          <w:sz w:val="20"/>
          <w:szCs w:val="20"/>
        </w:rPr>
        <w:t>-Estrella 1</w:t>
      </w:r>
    </w:p>
    <w:p>
      <w:pPr>
        <w:pStyle w:val="Normal"/>
        <w:shd w:val="clear" w:color="auto" w:fill="FFFFFF"/>
        <w:spacing w:lineRule="auto" w:line="240" w:before="0" w:after="0"/>
        <w:ind w:left="1416" w:hanging="0"/>
        <w:jc w:val="both"/>
        <w:rPr>
          <w:rFonts w:cs="Arial"/>
          <w:b/>
          <w:b/>
          <w:sz w:val="20"/>
          <w:szCs w:val="20"/>
        </w:rPr>
      </w:pPr>
      <w:r>
        <w:rPr>
          <w:rFonts w:cs="Arial"/>
          <w:b/>
          <w:sz w:val="20"/>
          <w:szCs w:val="20"/>
        </w:rPr>
        <w:t>-Estrella 2</w:t>
      </w:r>
    </w:p>
    <w:p>
      <w:pPr>
        <w:pStyle w:val="Normal"/>
        <w:shd w:val="clear" w:color="auto" w:fill="FFFFFF"/>
        <w:spacing w:lineRule="auto" w:line="240" w:before="0" w:after="0"/>
        <w:ind w:left="1416" w:hanging="0"/>
        <w:jc w:val="both"/>
        <w:rPr>
          <w:rFonts w:cs="Arial"/>
          <w:b/>
          <w:b/>
          <w:sz w:val="20"/>
          <w:szCs w:val="20"/>
        </w:rPr>
      </w:pPr>
      <w:r>
        <w:rPr>
          <w:rFonts w:cs="Arial"/>
          <w:b/>
          <w:sz w:val="20"/>
          <w:szCs w:val="20"/>
        </w:rPr>
        <w:t>-Estrella 3</w:t>
      </w:r>
    </w:p>
    <w:p>
      <w:pPr>
        <w:pStyle w:val="Normal"/>
        <w:shd w:val="clear" w:color="auto" w:fill="FFFFFF"/>
        <w:spacing w:lineRule="auto" w:line="240" w:before="0" w:after="0"/>
        <w:ind w:left="1416" w:hanging="0"/>
        <w:jc w:val="both"/>
        <w:rPr>
          <w:rFonts w:cs="Arial"/>
          <w:b/>
          <w:b/>
          <w:sz w:val="20"/>
          <w:szCs w:val="20"/>
        </w:rPr>
      </w:pPr>
      <w:r>
        <w:rPr>
          <w:rFonts w:cs="Arial"/>
          <w:b/>
          <w:sz w:val="20"/>
          <w:szCs w:val="20"/>
        </w:rPr>
        <w:t>-Estrella 4</w:t>
      </w:r>
    </w:p>
    <w:p>
      <w:pPr>
        <w:pStyle w:val="Normal"/>
        <w:shd w:val="clear" w:color="auto" w:fill="FFFFFF"/>
        <w:spacing w:lineRule="auto" w:line="240" w:before="0" w:after="0"/>
        <w:ind w:left="1416" w:hanging="0"/>
        <w:jc w:val="both"/>
        <w:rPr>
          <w:rFonts w:cs="Arial"/>
          <w:b/>
          <w:b/>
          <w:sz w:val="8"/>
          <w:szCs w:val="8"/>
        </w:rPr>
      </w:pPr>
      <w:r>
        <w:rPr>
          <w:rFonts w:cs="Arial"/>
          <w:b/>
          <w:sz w:val="8"/>
          <w:szCs w:val="8"/>
        </w:rPr>
      </w:r>
    </w:p>
    <w:p>
      <w:pPr>
        <w:pStyle w:val="Normal"/>
        <w:spacing w:lineRule="auto" w:line="240" w:before="0" w:after="0"/>
        <w:jc w:val="both"/>
        <w:rPr>
          <w:b/>
          <w:b/>
          <w:sz w:val="20"/>
          <w:szCs w:val="20"/>
        </w:rPr>
      </w:pPr>
      <w:r>
        <w:rPr>
          <w:b/>
          <w:sz w:val="20"/>
          <w:szCs w:val="20"/>
        </w:rPr>
        <w:t>Los parques eólicos excluidos son Cabecero I y Cid V, que no están entre los afectados por zonas de Sensibilidad ambiental máxima.</w:t>
      </w:r>
    </w:p>
    <w:p>
      <w:pPr>
        <w:pStyle w:val="Normal"/>
        <w:spacing w:lineRule="auto" w:line="240" w:before="0" w:after="0"/>
        <w:jc w:val="both"/>
        <w:rPr>
          <w:b/>
          <w:b/>
          <w:sz w:val="20"/>
          <w:szCs w:val="20"/>
        </w:rPr>
      </w:pPr>
      <w:r>
        <w:rPr>
          <w:b/>
          <w:sz w:val="20"/>
          <w:szCs w:val="20"/>
        </w:rPr>
      </w:r>
    </w:p>
    <w:p>
      <w:pPr>
        <w:pStyle w:val="Normal"/>
        <w:spacing w:lineRule="auto" w:line="240" w:before="0" w:after="0"/>
        <w:jc w:val="both"/>
        <w:rPr>
          <w:b/>
          <w:b/>
          <w:sz w:val="20"/>
          <w:szCs w:val="20"/>
        </w:rPr>
      </w:pPr>
      <w:r>
        <w:rPr>
          <w:b/>
          <w:sz w:val="20"/>
          <w:szCs w:val="20"/>
        </w:rPr>
        <w:t xml:space="preserve">18.6. Así pues, el Ministerio no tiene en cuenta la </w:t>
      </w:r>
      <w:r>
        <w:rPr>
          <w:rFonts w:cs="Arial"/>
          <w:b/>
          <w:sz w:val="20"/>
          <w:szCs w:val="20"/>
          <w:shd w:fill="FFFFFF" w:val="clear"/>
        </w:rPr>
        <w:t>herramienta de zonificación ambiental para energías renovables que diseñó -el mismo Ministerio- para definir las zonas donde se deberían excluir los parques eólicos.</w:t>
      </w:r>
    </w:p>
    <w:p>
      <w:pPr>
        <w:pStyle w:val="Normal"/>
        <w:spacing w:lineRule="auto" w:line="240" w:before="0" w:after="0"/>
        <w:jc w:val="both"/>
        <w:rPr>
          <w:b/>
          <w:b/>
          <w:sz w:val="20"/>
          <w:szCs w:val="20"/>
        </w:rPr>
      </w:pPr>
      <w:r>
        <w:rPr>
          <w:b/>
          <w:sz w:val="20"/>
          <w:szCs w:val="20"/>
        </w:rPr>
      </w:r>
    </w:p>
    <w:p>
      <w:pPr>
        <w:pStyle w:val="NormalWeb"/>
        <w:shd w:val="clear" w:color="auto" w:fill="FFFFFF"/>
        <w:spacing w:beforeAutospacing="0" w:before="0" w:afterAutospacing="0" w:after="0"/>
        <w:jc w:val="both"/>
        <w:rPr>
          <w:rFonts w:ascii="Calibri" w:hAnsi="Calibri" w:asciiTheme="minorHAnsi" w:hAnsiTheme="minorHAnsi"/>
          <w:b/>
          <w:b/>
          <w:sz w:val="20"/>
          <w:szCs w:val="20"/>
        </w:rPr>
      </w:pPr>
      <w:r>
        <w:rPr>
          <w:rStyle w:val="Destacado"/>
          <w:rFonts w:eastAsia="" w:ascii="Calibri" w:hAnsi="Calibri" w:asciiTheme="minorHAnsi" w:eastAsiaTheme="majorEastAsia" w:hAnsiTheme="minorHAnsi"/>
          <w:b/>
          <w:bCs/>
          <w:i w:val="false"/>
          <w:sz w:val="20"/>
          <w:szCs w:val="20"/>
        </w:rPr>
        <w:t>18.7. La Disposición adicional decimonovena de la</w:t>
      </w:r>
      <w:r>
        <w:rPr>
          <w:rStyle w:val="Destacado"/>
          <w:rFonts w:eastAsia="" w:ascii="Calibri" w:hAnsi="Calibri" w:asciiTheme="minorHAnsi" w:eastAsiaTheme="majorEastAsia" w:hAnsiTheme="minorHAnsi"/>
          <w:b/>
          <w:bCs/>
          <w:sz w:val="20"/>
          <w:szCs w:val="20"/>
        </w:rPr>
        <w:t xml:space="preserve"> </w:t>
      </w:r>
      <w:r>
        <w:rPr>
          <w:rFonts w:ascii="Calibri" w:hAnsi="Calibri" w:asciiTheme="minorHAnsi" w:hAnsiTheme="minorHAnsi"/>
          <w:b/>
          <w:sz w:val="20"/>
          <w:szCs w:val="20"/>
        </w:rPr>
        <w:t>Ley 21/2013, de 9 de diciembre, de evaluación ambiental establece lo siguiente:</w:t>
      </w:r>
    </w:p>
    <w:p>
      <w:pPr>
        <w:pStyle w:val="NormalWeb"/>
        <w:shd w:val="clear" w:color="auto" w:fill="FFFFFF"/>
        <w:spacing w:beforeAutospacing="0" w:before="0" w:afterAutospacing="0" w:after="0"/>
        <w:jc w:val="both"/>
        <w:rPr>
          <w:rFonts w:ascii="Calibri" w:hAnsi="Calibri" w:asciiTheme="minorHAnsi" w:hAnsiTheme="minorHAnsi"/>
          <w:b/>
          <w:b/>
          <w:sz w:val="8"/>
          <w:szCs w:val="8"/>
        </w:rPr>
      </w:pPr>
      <w:r>
        <w:rPr>
          <w:rFonts w:asciiTheme="minorHAnsi" w:hAnsiTheme="minorHAnsi" w:ascii="Calibri" w:hAnsi="Calibri"/>
          <w:b/>
          <w:sz w:val="8"/>
          <w:szCs w:val="8"/>
        </w:rPr>
      </w:r>
    </w:p>
    <w:p>
      <w:pPr>
        <w:pStyle w:val="A"/>
        <w:shd w:val="clear" w:color="auto" w:fill="FFFFFF"/>
        <w:spacing w:beforeAutospacing="0" w:before="0" w:afterAutospacing="0" w:after="0"/>
        <w:ind w:left="708" w:hanging="0"/>
        <w:jc w:val="both"/>
        <w:rPr>
          <w:rFonts w:ascii="Calibri" w:hAnsi="Calibri" w:asciiTheme="minorHAnsi" w:hAnsiTheme="minorHAnsi"/>
          <w:b/>
          <w:b/>
          <w:bCs/>
          <w:sz w:val="20"/>
          <w:szCs w:val="20"/>
        </w:rPr>
      </w:pPr>
      <w:r>
        <w:rPr>
          <w:rStyle w:val="Destacado"/>
          <w:rFonts w:eastAsia="" w:ascii="Calibri" w:hAnsi="Calibri" w:asciiTheme="minorHAnsi" w:eastAsiaTheme="majorEastAsia" w:hAnsiTheme="minorHAnsi"/>
          <w:b/>
          <w:bCs/>
          <w:sz w:val="20"/>
          <w:szCs w:val="20"/>
        </w:rPr>
        <w:t>“</w:t>
      </w:r>
      <w:r>
        <w:rPr>
          <w:rStyle w:val="Destacado"/>
          <w:rFonts w:eastAsia="" w:ascii="Calibri" w:hAnsi="Calibri" w:asciiTheme="minorHAnsi" w:eastAsiaTheme="majorEastAsia" w:hAnsiTheme="minorHAnsi"/>
          <w:b/>
          <w:bCs/>
          <w:sz w:val="20"/>
          <w:szCs w:val="20"/>
        </w:rPr>
        <w:t>Priorización de expedientes de proyectos de generación eléctrica a partir de fuentes renovables.</w:t>
      </w:r>
    </w:p>
    <w:p>
      <w:pPr>
        <w:pStyle w:val="NormalWeb"/>
        <w:shd w:val="clear" w:color="auto" w:fill="FFFFFF"/>
        <w:spacing w:beforeAutospacing="0" w:before="0" w:afterAutospacing="0" w:after="0"/>
        <w:ind w:left="708" w:hanging="0"/>
        <w:jc w:val="both"/>
        <w:rPr>
          <w:rFonts w:ascii="Calibri" w:hAnsi="Calibri" w:asciiTheme="minorHAnsi" w:hAnsiTheme="minorHAnsi"/>
          <w:b/>
          <w:b/>
          <w:sz w:val="20"/>
          <w:szCs w:val="20"/>
        </w:rPr>
      </w:pPr>
      <w:r>
        <w:rPr>
          <w:rStyle w:val="Destacado"/>
          <w:rFonts w:eastAsia="" w:ascii="Calibri" w:hAnsi="Calibri" w:asciiTheme="minorHAnsi" w:eastAsiaTheme="majorEastAsia" w:hAnsiTheme="minorHAnsi"/>
          <w:b/>
          <w:sz w:val="20"/>
          <w:szCs w:val="20"/>
        </w:rPr>
        <w:t xml:space="preserve">En la tramitación de los procedimientos de evaluación ambiental de proyectos de generación eléctrica a partir de fuentes renovables, se priorizará el despacho de los expedientes que correspondan a proyectos ubicados en </w:t>
      </w:r>
      <w:r>
        <w:rPr>
          <w:rStyle w:val="Destacado"/>
          <w:rFonts w:eastAsia="" w:ascii="Calibri" w:hAnsi="Calibri" w:asciiTheme="minorHAnsi" w:eastAsiaTheme="majorEastAsia" w:hAnsiTheme="minorHAnsi"/>
          <w:b/>
          <w:sz w:val="20"/>
          <w:szCs w:val="20"/>
          <w:u w:val="single"/>
        </w:rPr>
        <w:t>zonas de sensibilidad baja y moderada</w:t>
      </w:r>
      <w:r>
        <w:rPr>
          <w:rStyle w:val="Destacado"/>
          <w:rFonts w:eastAsia="" w:ascii="Calibri" w:hAnsi="Calibri" w:asciiTheme="minorHAnsi" w:eastAsiaTheme="majorEastAsia" w:hAnsiTheme="minorHAnsi"/>
          <w:b/>
          <w:sz w:val="20"/>
          <w:szCs w:val="20"/>
        </w:rPr>
        <w:t>, según la «Zonificación ambiental para la implantación de energías renovables», elaborada por el Ministerio de Transición Ecológica y el Reto Demográfico”.</w:t>
      </w:r>
    </w:p>
    <w:p>
      <w:pPr>
        <w:pStyle w:val="Normal"/>
        <w:spacing w:lineRule="auto" w:line="240" w:before="0" w:after="0"/>
        <w:jc w:val="both"/>
        <w:rPr>
          <w:b/>
          <w:b/>
          <w:sz w:val="20"/>
          <w:szCs w:val="20"/>
        </w:rPr>
      </w:pPr>
      <w:r>
        <w:rPr>
          <w:b/>
          <w:sz w:val="20"/>
          <w:szCs w:val="20"/>
        </w:rPr>
      </w:r>
    </w:p>
    <w:p>
      <w:pPr>
        <w:pStyle w:val="Normal"/>
        <w:spacing w:lineRule="auto" w:line="240" w:before="0" w:after="0"/>
        <w:jc w:val="both"/>
        <w:rPr>
          <w:b/>
          <w:b/>
          <w:sz w:val="20"/>
          <w:szCs w:val="20"/>
        </w:rPr>
      </w:pPr>
      <w:r>
        <w:rPr>
          <w:b/>
          <w:sz w:val="20"/>
          <w:szCs w:val="20"/>
        </w:rPr>
        <w:t xml:space="preserve">19. </w:t>
      </w:r>
      <w:r>
        <w:rPr>
          <w:b/>
          <w:sz w:val="20"/>
          <w:szCs w:val="20"/>
          <w:u w:val="single"/>
        </w:rPr>
        <w:t>EN OTRAS DECLARACIONES DE IMPACTO AMBIENTAL FORMULADAS POR EL PROPIO MITECO, HA SIDO DETERMINANTE LA CIRCUNSTANCIA DE SITUARSE DENTRO DE UNA ZONA DE SENSIBILIDAD AMBIENTAL MÁXIMA PARA QUE DICHA DECLARACIÓN FUERA DESFAVORABLE</w:t>
      </w:r>
    </w:p>
    <w:p>
      <w:pPr>
        <w:pStyle w:val="Normal"/>
        <w:shd w:val="clear" w:color="auto" w:fill="FFFFFF" w:themeFill="background1"/>
        <w:spacing w:lineRule="auto" w:line="240" w:before="0" w:after="0"/>
        <w:jc w:val="both"/>
        <w:rPr>
          <w:b/>
          <w:b/>
          <w:sz w:val="8"/>
          <w:szCs w:val="8"/>
        </w:rPr>
      </w:pPr>
      <w:r>
        <w:rPr>
          <w:b/>
          <w:sz w:val="8"/>
          <w:szCs w:val="8"/>
        </w:rPr>
      </w:r>
    </w:p>
    <w:p>
      <w:pPr>
        <w:pStyle w:val="Normal"/>
        <w:shd w:val="clear" w:color="auto" w:fill="FFFFFF" w:themeFill="background1"/>
        <w:spacing w:lineRule="auto" w:line="240" w:before="0" w:after="0"/>
        <w:jc w:val="both"/>
        <w:rPr>
          <w:b/>
          <w:b/>
          <w:sz w:val="20"/>
          <w:szCs w:val="20"/>
        </w:rPr>
      </w:pPr>
      <w:r>
        <w:rPr>
          <w:b/>
          <w:sz w:val="20"/>
          <w:szCs w:val="20"/>
        </w:rPr>
        <w:t>19.1. Como ejemplo, en la reciente Resolución de 28 de diciembre de 2022 de la Dirección General de Calidad y Evaluación Ambiental (BOE 11 de enero de 2023) en relación con el P.E. Villarino, se señala como uno de los factores más importantes para su calificación como DIA desfavorable el siguiente:</w:t>
      </w:r>
    </w:p>
    <w:p>
      <w:pPr>
        <w:pStyle w:val="Normal"/>
        <w:spacing w:lineRule="auto" w:line="240" w:before="0" w:after="0"/>
        <w:rPr>
          <w:sz w:val="8"/>
          <w:szCs w:val="8"/>
        </w:rPr>
      </w:pPr>
      <w:r>
        <w:rPr>
          <w:sz w:val="8"/>
          <w:szCs w:val="8"/>
        </w:rPr>
      </w:r>
    </w:p>
    <w:p>
      <w:pPr>
        <w:pStyle w:val="Normal"/>
        <w:spacing w:lineRule="auto" w:line="240" w:before="0" w:after="0"/>
        <w:ind w:left="708" w:hanging="0"/>
        <w:jc w:val="both"/>
        <w:rPr>
          <w:b/>
          <w:b/>
          <w:i/>
          <w:i/>
        </w:rPr>
      </w:pPr>
      <w:r>
        <w:rPr>
          <w:b/>
          <w:i/>
          <w:sz w:val="20"/>
          <w:szCs w:val="20"/>
        </w:rPr>
        <w:t>“</w:t>
      </w:r>
      <w:r>
        <w:rPr>
          <w:b/>
          <w:i/>
          <w:sz w:val="20"/>
          <w:szCs w:val="20"/>
        </w:rPr>
        <w:t>Según la zonificación de la sensibilidad ambiental del territorio para la implantación de proyectos de energía eólica definida por el Ministerio para Transición Ecológica y el Reto Demográfico, la mayor parte de los aerogeneradores ubicados al oeste del parque eólico se localizan en zona de sensibilidad ambiental muy alta, mientras que tres de ellos se localizarían en zona de sensibilidad máxima, donde no se recomienda la instalación de proyectos de energía renovable”.</w:t>
      </w:r>
    </w:p>
    <w:p>
      <w:pPr>
        <w:pStyle w:val="Normal"/>
        <w:spacing w:lineRule="auto" w:line="240" w:before="0" w:after="0"/>
        <w:jc w:val="both"/>
        <w:rPr>
          <w:b/>
          <w:b/>
          <w:sz w:val="8"/>
          <w:szCs w:val="8"/>
        </w:rPr>
      </w:pPr>
      <w:r>
        <w:rPr>
          <w:b/>
          <w:sz w:val="8"/>
          <w:szCs w:val="8"/>
        </w:rPr>
      </w:r>
    </w:p>
    <w:p>
      <w:pPr>
        <w:pStyle w:val="Normal"/>
        <w:shd w:val="clear" w:color="auto" w:fill="FFFFFF" w:themeFill="background1"/>
        <w:spacing w:lineRule="auto" w:line="240" w:before="0" w:after="0"/>
        <w:jc w:val="both"/>
        <w:rPr>
          <w:b/>
          <w:b/>
          <w:sz w:val="20"/>
          <w:szCs w:val="20"/>
        </w:rPr>
      </w:pPr>
      <w:hyperlink r:id="rId22">
        <w:r>
          <w:rPr>
            <w:rStyle w:val="EnlacedeInternet"/>
            <w:b/>
            <w:color w:val="auto"/>
            <w:sz w:val="20"/>
            <w:szCs w:val="20"/>
          </w:rPr>
          <w:t>https://www.boe.es/diario_boe/txt.php?id=BOE-A-2023-706</w:t>
        </w:r>
      </w:hyperlink>
    </w:p>
    <w:p>
      <w:pPr>
        <w:pStyle w:val="Normal"/>
        <w:spacing w:lineRule="auto" w:line="240" w:before="0" w:after="0"/>
        <w:jc w:val="both"/>
        <w:rPr>
          <w:b/>
          <w:b/>
          <w:sz w:val="20"/>
          <w:szCs w:val="20"/>
        </w:rPr>
      </w:pPr>
      <w:r>
        <w:rPr>
          <w:b/>
          <w:sz w:val="20"/>
          <w:szCs w:val="20"/>
        </w:rPr>
      </w:r>
    </w:p>
    <w:p>
      <w:pPr>
        <w:pStyle w:val="Normal"/>
        <w:spacing w:lineRule="auto" w:line="240" w:before="0" w:after="0"/>
        <w:jc w:val="both"/>
        <w:rPr>
          <w:b/>
          <w:b/>
          <w:sz w:val="20"/>
          <w:szCs w:val="20"/>
        </w:rPr>
      </w:pPr>
      <w:r>
        <w:rPr>
          <w:b/>
          <w:sz w:val="20"/>
          <w:szCs w:val="20"/>
        </w:rPr>
        <w:t xml:space="preserve">20. </w:t>
      </w:r>
      <w:r>
        <w:rPr>
          <w:b/>
          <w:sz w:val="20"/>
          <w:szCs w:val="20"/>
          <w:u w:val="single"/>
        </w:rPr>
        <w:t xml:space="preserve">NO SE TUVO EN CUENTA EL GRAN RIESGO EXISTENTE A PESAR DE QUE </w:t>
      </w:r>
      <w:r>
        <w:rPr>
          <w:rFonts w:cs="Arial"/>
          <w:b/>
          <w:sz w:val="20"/>
          <w:szCs w:val="20"/>
          <w:u w:val="single"/>
        </w:rPr>
        <w:t>LA DIRECCIÓN GENERAL DE MEDIO NATURAL Y GESTIÓN AMBIENTAL DEL GOBIERNO DE ARAGÓN ALERTÓ AL MINISTERIO SOBRE LA UBICACIÓN DE ESTOS AEROGENERADORES SOBRE  ZONAS DE MÁXIMO RIESGO AMBIENTAL</w:t>
      </w:r>
    </w:p>
    <w:p>
      <w:pPr>
        <w:pStyle w:val="Normal"/>
        <w:spacing w:lineRule="auto" w:line="240" w:before="0" w:after="0"/>
        <w:jc w:val="both"/>
        <w:rPr>
          <w:b/>
          <w:b/>
          <w:sz w:val="8"/>
          <w:szCs w:val="8"/>
        </w:rPr>
      </w:pPr>
      <w:r>
        <w:rPr>
          <w:b/>
          <w:sz w:val="8"/>
          <w:szCs w:val="8"/>
        </w:rPr>
      </w:r>
    </w:p>
    <w:p>
      <w:pPr>
        <w:pStyle w:val="Normal"/>
        <w:spacing w:lineRule="auto" w:line="240" w:before="0" w:after="0"/>
        <w:jc w:val="both"/>
        <w:rPr>
          <w:rStyle w:val="Markedcontent"/>
          <w:rFonts w:cs="Arial"/>
          <w:b/>
          <w:b/>
          <w:sz w:val="20"/>
          <w:szCs w:val="20"/>
        </w:rPr>
      </w:pPr>
      <w:r>
        <w:rPr>
          <w:rFonts w:cs="Arial"/>
          <w:b/>
          <w:sz w:val="20"/>
          <w:szCs w:val="20"/>
        </w:rPr>
        <w:t>20.1. En su Informe de 9 de abril de 2021, la Dirección General de Medio Natural y Gestión Ambiental del Gobierno de Aragón alertó al Ministerio para la Transición Ecológica y el Reto Demográfico (Miteco) de que los proyectos integrados en el Clúster Maestrazgo se ubican en una zona definida por el propio ministerio como de “máximo riesgo (no recomendado)” en relación a la instalación de energía eólica “por el valor del índice de sensibilidad ambiental”:</w:t>
      </w:r>
    </w:p>
    <w:p>
      <w:pPr>
        <w:pStyle w:val="Normal"/>
        <w:spacing w:lineRule="auto" w:line="240" w:before="0" w:after="0"/>
        <w:jc w:val="both"/>
        <w:rPr>
          <w:b/>
          <w:b/>
          <w:sz w:val="8"/>
          <w:szCs w:val="8"/>
        </w:rPr>
      </w:pPr>
      <w:r>
        <w:rPr>
          <w:b/>
          <w:sz w:val="8"/>
          <w:szCs w:val="8"/>
        </w:rPr>
      </w:r>
    </w:p>
    <w:p>
      <w:pPr>
        <w:pStyle w:val="Normal"/>
        <w:spacing w:lineRule="auto" w:line="240" w:before="0" w:after="0"/>
        <w:ind w:left="708" w:hanging="0"/>
        <w:jc w:val="both"/>
        <w:rPr>
          <w:rFonts w:eastAsia="Times New Roman"/>
          <w:b/>
          <w:b/>
          <w:i/>
          <w:i/>
          <w:sz w:val="20"/>
          <w:szCs w:val="20"/>
        </w:rPr>
      </w:pPr>
      <w:r>
        <w:rPr>
          <w:rFonts w:eastAsia="Times New Roman"/>
          <w:b/>
          <w:i/>
          <w:sz w:val="20"/>
          <w:szCs w:val="20"/>
        </w:rPr>
        <w:t>“</w:t>
      </w:r>
      <w:r>
        <w:rPr>
          <w:rFonts w:eastAsia="Times New Roman"/>
          <w:b/>
          <w:i/>
          <w:sz w:val="20"/>
          <w:szCs w:val="20"/>
        </w:rPr>
        <w:t>Como premisa inicial, y tal y como ya se ha indicado, gran parte de la actuación se ubica en una zona categorizada como de "máximo riesgo (no recomendado)" en relación a la instalación de energía eólica, para el valor del Índice de sensibilidad Ambiental, definido por el Ministerio para la Transición Ecológica y el Reto Demográfico en relación a los proyectos eólicos y fotovoltaicos y su impacto sobre el medio natural (Zonificación ambiental para la implantación de energías renovables: eólica y fotovoltaica. Sensibilidad ambiental y clasificación del territorio; diciembre 2020, documento 1memoria_tom30-518028.pdf (miteco.gob.es)). El propio MITERD define este Índice como una "herramienta que permite identificar las áreas del territorio nacional que presentan mayores condicionantes ambientales para la implantación de estos proyectos, mediante un modelo territorial que agrupe los principales factores ambientales.". Por, tanto debería ser un criterio determinante a la hora de evaluar proyectos a ubicar en las zonas con muchos condicionantes ambientales como es el caso, en la que existe un elevado riesgo de afectar de manera negativa y muy significativa a componentes de la biodiversidad y de otros elementos ambientales relevantes”.</w:t>
      </w:r>
    </w:p>
    <w:p>
      <w:pPr>
        <w:pStyle w:val="Normal"/>
        <w:shd w:val="clear" w:color="auto" w:fill="FFFFFF" w:themeFill="background1"/>
        <w:spacing w:lineRule="auto" w:line="240" w:before="0" w:after="0"/>
        <w:jc w:val="both"/>
        <w:rPr>
          <w:rFonts w:eastAsia="Times New Roman" w:cs="Times New Roman"/>
          <w:b/>
          <w:b/>
          <w:bCs/>
          <w:sz w:val="20"/>
          <w:szCs w:val="20"/>
          <w:lang w:eastAsia="es-ES"/>
        </w:rPr>
      </w:pPr>
      <w:r>
        <w:rPr>
          <w:rFonts w:eastAsia="Times New Roman" w:cs="Times New Roman"/>
          <w:b/>
          <w:bCs/>
          <w:sz w:val="20"/>
          <w:szCs w:val="20"/>
          <w:lang w:eastAsia="es-ES"/>
        </w:rPr>
      </w:r>
    </w:p>
    <w:p>
      <w:pPr>
        <w:pStyle w:val="Normal"/>
        <w:spacing w:lineRule="auto" w:line="240" w:before="0" w:after="0"/>
        <w:jc w:val="both"/>
        <w:rPr>
          <w:b/>
          <w:b/>
          <w:sz w:val="20"/>
          <w:szCs w:val="20"/>
        </w:rPr>
      </w:pPr>
      <w:r>
        <w:rPr>
          <w:b/>
          <w:sz w:val="20"/>
          <w:szCs w:val="20"/>
        </w:rPr>
        <w:t xml:space="preserve">21. </w:t>
      </w:r>
      <w:r>
        <w:rPr>
          <w:b/>
          <w:sz w:val="20"/>
          <w:szCs w:val="20"/>
          <w:u w:val="single"/>
        </w:rPr>
        <w:t>El PNIEC LIGA LAS UBICACIONES DE LAS RENOVABLES A LA ZONIFICACIÓN AMBIENTAL Y AL GRADO DE SENSIBILIDAD AMBIENTAL DEL TERRITORIO</w:t>
      </w:r>
    </w:p>
    <w:p>
      <w:pPr>
        <w:pStyle w:val="Normal"/>
        <w:spacing w:lineRule="auto" w:line="240" w:before="0" w:after="0"/>
        <w:rPr>
          <w:rFonts w:cs="Arial"/>
          <w:sz w:val="8"/>
          <w:szCs w:val="8"/>
        </w:rPr>
      </w:pPr>
      <w:r>
        <w:rPr>
          <w:rFonts w:cs="Arial"/>
          <w:sz w:val="8"/>
          <w:szCs w:val="8"/>
        </w:rPr>
      </w:r>
    </w:p>
    <w:p>
      <w:pPr>
        <w:pStyle w:val="Normal"/>
        <w:spacing w:lineRule="auto" w:line="240" w:before="0" w:after="0"/>
        <w:jc w:val="both"/>
        <w:rPr>
          <w:rFonts w:cs="Arial"/>
          <w:b/>
          <w:b/>
          <w:iCs/>
          <w:sz w:val="20"/>
          <w:szCs w:val="20"/>
        </w:rPr>
      </w:pPr>
      <w:r>
        <w:rPr>
          <w:rFonts w:cs="Arial"/>
          <w:b/>
          <w:sz w:val="20"/>
          <w:szCs w:val="20"/>
        </w:rPr>
        <w:t xml:space="preserve">21.1. En la </w:t>
      </w:r>
      <w:r>
        <w:rPr>
          <w:rFonts w:cs="Arial"/>
          <w:b/>
          <w:iCs/>
          <w:sz w:val="20"/>
          <w:szCs w:val="20"/>
        </w:rPr>
        <w:t>Resolución de 30 de diciembre de 2020, de la Dirección General de Calidad y Evaluación Ambiental, por la que se formula la declaración ambiental estratégica del Plan Nacional Integrado de Energía y Clima 2021-2030.(BOE 11.01.2021) se señala lo siguiente:</w:t>
      </w:r>
    </w:p>
    <w:p>
      <w:pPr>
        <w:pStyle w:val="Normal"/>
        <w:spacing w:lineRule="auto" w:line="240" w:before="0" w:after="0"/>
        <w:jc w:val="both"/>
        <w:rPr>
          <w:rFonts w:cs="Arial"/>
          <w:b/>
          <w:b/>
          <w:iCs/>
          <w:sz w:val="8"/>
          <w:szCs w:val="8"/>
        </w:rPr>
      </w:pPr>
      <w:r>
        <w:rPr>
          <w:rFonts w:cs="Arial"/>
          <w:b/>
          <w:iCs/>
          <w:sz w:val="8"/>
          <w:szCs w:val="8"/>
        </w:rPr>
      </w:r>
    </w:p>
    <w:p>
      <w:pPr>
        <w:pStyle w:val="Normal"/>
        <w:spacing w:lineRule="auto" w:line="240" w:before="0" w:after="0"/>
        <w:jc w:val="both"/>
        <w:rPr>
          <w:b/>
          <w:b/>
          <w:sz w:val="20"/>
          <w:szCs w:val="20"/>
        </w:rPr>
      </w:pPr>
      <w:hyperlink r:id="rId23">
        <w:r>
          <w:rPr>
            <w:rStyle w:val="EnlacedeInternet"/>
            <w:b/>
            <w:color w:val="auto"/>
            <w:sz w:val="20"/>
            <w:szCs w:val="20"/>
          </w:rPr>
          <w:t>https://www.boe.es/buscar/doc.php?id=BOE-A-2021-421</w:t>
        </w:r>
      </w:hyperlink>
    </w:p>
    <w:p>
      <w:pPr>
        <w:pStyle w:val="Normal"/>
        <w:spacing w:lineRule="auto" w:line="240" w:before="0" w:after="0"/>
        <w:jc w:val="both"/>
        <w:rPr>
          <w:b/>
          <w:b/>
          <w:sz w:val="8"/>
          <w:szCs w:val="8"/>
        </w:rPr>
      </w:pPr>
      <w:r>
        <w:rPr>
          <w:b/>
          <w:sz w:val="8"/>
          <w:szCs w:val="8"/>
        </w:rPr>
      </w:r>
    </w:p>
    <w:p>
      <w:pPr>
        <w:pStyle w:val="Normal"/>
        <w:spacing w:lineRule="auto" w:line="240" w:before="0" w:after="0"/>
        <w:ind w:left="708" w:hanging="0"/>
        <w:jc w:val="both"/>
        <w:rPr>
          <w:b/>
          <w:b/>
          <w:i/>
          <w:i/>
          <w:sz w:val="20"/>
          <w:szCs w:val="20"/>
        </w:rPr>
      </w:pPr>
      <w:r>
        <w:rPr>
          <w:b/>
          <w:i/>
          <w:sz w:val="20"/>
          <w:szCs w:val="20"/>
        </w:rPr>
        <w:t>“</w:t>
      </w:r>
      <w:r>
        <w:rPr>
          <w:b/>
          <w:i/>
          <w:sz w:val="20"/>
          <w:szCs w:val="20"/>
        </w:rPr>
        <w:t xml:space="preserve">Respecto a las medidas estratégicas orientadas al despliegue de instalaciones renovables </w:t>
      </w:r>
      <w:r>
        <w:rPr>
          <w:b/>
          <w:i/>
          <w:sz w:val="20"/>
          <w:szCs w:val="20"/>
          <w:u w:val="single"/>
        </w:rPr>
        <w:t>se promueven inicialmente criterios ambientales generales en relación con la ubicación de las instalaciones y los efectos más representativos que conllevan, así como criterios ambientales estratégicos específicos por tecnologías</w:t>
      </w:r>
      <w:r>
        <w:rPr>
          <w:b/>
          <w:i/>
          <w:sz w:val="20"/>
          <w:szCs w:val="20"/>
        </w:rPr>
        <w:t xml:space="preserve">. En este sentido, el MITERD ha elaborado unos </w:t>
      </w:r>
      <w:r>
        <w:rPr>
          <w:b/>
          <w:i/>
          <w:sz w:val="20"/>
          <w:szCs w:val="20"/>
          <w:u w:val="single"/>
        </w:rPr>
        <w:t>mapas de zonificación ambiental para energías renovables</w:t>
      </w:r>
      <w:r>
        <w:rPr>
          <w:b/>
          <w:i/>
          <w:sz w:val="20"/>
          <w:szCs w:val="20"/>
        </w:rPr>
        <w:t xml:space="preserve"> (eólica y fotovoltaica) que </w:t>
      </w:r>
      <w:r>
        <w:rPr>
          <w:b/>
          <w:i/>
          <w:sz w:val="20"/>
          <w:szCs w:val="20"/>
          <w:u w:val="single"/>
        </w:rPr>
        <w:t>integran los distintos requisitos del territorio para la ubicación de estas inst</w:t>
      </w:r>
      <w:r>
        <w:rPr>
          <w:b/>
          <w:i/>
          <w:sz w:val="20"/>
          <w:szCs w:val="20"/>
        </w:rPr>
        <w:t>alaciones, considerando dentro de la eólica, únicamente la terrestre, y que permitirán orientar al promotor de dichas instalaciones a la hora de elegir la ubicación más viable ambientalmente”</w:t>
      </w:r>
    </w:p>
    <w:p>
      <w:pPr>
        <w:pStyle w:val="Normal"/>
        <w:spacing w:lineRule="auto" w:line="240" w:before="0" w:after="0"/>
        <w:jc w:val="both"/>
        <w:rPr>
          <w:sz w:val="20"/>
          <w:szCs w:val="20"/>
        </w:rPr>
      </w:pPr>
      <w:r>
        <w:rPr>
          <w:sz w:val="20"/>
          <w:szCs w:val="20"/>
        </w:rPr>
      </w:r>
    </w:p>
    <w:p>
      <w:pPr>
        <w:pStyle w:val="Pa6"/>
        <w:spacing w:lineRule="auto" w:line="240"/>
        <w:jc w:val="both"/>
        <w:rPr>
          <w:rFonts w:ascii="Calibri" w:hAnsi="Calibri" w:asciiTheme="minorHAnsi" w:hAnsiTheme="minorHAnsi"/>
          <w:b/>
          <w:b/>
          <w:sz w:val="20"/>
          <w:szCs w:val="20"/>
        </w:rPr>
      </w:pPr>
      <w:r>
        <w:rPr>
          <w:rFonts w:ascii="Calibri" w:hAnsi="Calibri" w:asciiTheme="minorHAnsi" w:hAnsiTheme="minorHAnsi"/>
          <w:b/>
          <w:sz w:val="20"/>
          <w:szCs w:val="20"/>
        </w:rPr>
        <w:t>Más adelante señala:</w:t>
      </w:r>
    </w:p>
    <w:p>
      <w:pPr>
        <w:pStyle w:val="Default"/>
        <w:rPr>
          <w:rFonts w:ascii="Calibri" w:hAnsi="Calibri" w:asciiTheme="minorHAnsi" w:hAnsiTheme="minorHAnsi"/>
          <w:b/>
          <w:b/>
          <w:color w:val="auto"/>
          <w:sz w:val="8"/>
          <w:szCs w:val="8"/>
        </w:rPr>
      </w:pPr>
      <w:r>
        <w:rPr>
          <w:rFonts w:asciiTheme="minorHAnsi" w:hAnsiTheme="minorHAnsi" w:ascii="Calibri" w:hAnsi="Calibri"/>
          <w:b/>
          <w:color w:val="auto"/>
          <w:sz w:val="8"/>
          <w:szCs w:val="8"/>
        </w:rPr>
      </w:r>
    </w:p>
    <w:p>
      <w:pPr>
        <w:pStyle w:val="Pa6"/>
        <w:spacing w:lineRule="auto" w:line="240"/>
        <w:ind w:left="708" w:hanging="0"/>
        <w:jc w:val="both"/>
        <w:rPr>
          <w:rFonts w:ascii="Calibri" w:hAnsi="Calibri" w:asciiTheme="minorHAnsi" w:hAnsiTheme="minorHAnsi"/>
          <w:b/>
          <w:b/>
          <w:i/>
          <w:i/>
          <w:sz w:val="20"/>
          <w:szCs w:val="20"/>
        </w:rPr>
      </w:pPr>
      <w:r>
        <w:rPr>
          <w:rFonts w:ascii="Calibri" w:hAnsi="Calibri" w:asciiTheme="minorHAnsi" w:hAnsiTheme="minorHAnsi"/>
          <w:b/>
          <w:i/>
          <w:sz w:val="20"/>
          <w:szCs w:val="20"/>
        </w:rPr>
        <w:t>“</w:t>
      </w:r>
      <w:r>
        <w:rPr>
          <w:rFonts w:ascii="Calibri" w:hAnsi="Calibri" w:asciiTheme="minorHAnsi" w:hAnsiTheme="minorHAnsi"/>
          <w:b/>
          <w:i/>
          <w:sz w:val="20"/>
          <w:szCs w:val="20"/>
        </w:rPr>
        <w:t>Sería deseable que la planificación (de energía y clima de las comunidades autónomas) incorporara, al menos, las siguientes cuestiones:</w:t>
      </w:r>
    </w:p>
    <w:p>
      <w:pPr>
        <w:pStyle w:val="Default"/>
        <w:rPr>
          <w:rFonts w:ascii="Calibri" w:hAnsi="Calibri" w:asciiTheme="minorHAnsi" w:hAnsiTheme="minorHAnsi"/>
          <w:color w:val="auto"/>
          <w:sz w:val="8"/>
          <w:szCs w:val="8"/>
        </w:rPr>
      </w:pPr>
      <w:r>
        <w:rPr>
          <w:rFonts w:asciiTheme="minorHAnsi" w:hAnsiTheme="minorHAnsi" w:ascii="Calibri" w:hAnsi="Calibri"/>
          <w:color w:val="auto"/>
          <w:sz w:val="8"/>
          <w:szCs w:val="8"/>
        </w:rPr>
      </w:r>
    </w:p>
    <w:p>
      <w:pPr>
        <w:pStyle w:val="Pa7"/>
        <w:spacing w:lineRule="auto" w:line="240"/>
        <w:ind w:left="708" w:hanging="0"/>
        <w:jc w:val="both"/>
        <w:rPr>
          <w:rFonts w:ascii="Calibri" w:hAnsi="Calibri" w:asciiTheme="minorHAnsi" w:hAnsiTheme="minorHAnsi"/>
          <w:b/>
          <w:b/>
          <w:i/>
          <w:i/>
          <w:sz w:val="20"/>
          <w:szCs w:val="20"/>
        </w:rPr>
      </w:pPr>
      <w:r>
        <w:rPr>
          <w:rFonts w:ascii="Calibri" w:hAnsi="Calibri" w:asciiTheme="minorHAnsi" w:hAnsiTheme="minorHAnsi"/>
          <w:b/>
          <w:i/>
          <w:sz w:val="20"/>
          <w:szCs w:val="20"/>
        </w:rPr>
        <w:t xml:space="preserve">– </w:t>
      </w:r>
      <w:r>
        <w:rPr>
          <w:rFonts w:ascii="Calibri" w:hAnsi="Calibri" w:asciiTheme="minorHAnsi" w:hAnsiTheme="minorHAnsi"/>
          <w:b/>
          <w:i/>
          <w:sz w:val="20"/>
          <w:szCs w:val="20"/>
          <w:u w:val="single"/>
        </w:rPr>
        <w:t>Zonificación de aptitud ambiental y territorial</w:t>
      </w:r>
      <w:r>
        <w:rPr>
          <w:rFonts w:ascii="Calibri" w:hAnsi="Calibri" w:asciiTheme="minorHAnsi" w:hAnsiTheme="minorHAnsi"/>
          <w:b/>
          <w:i/>
          <w:sz w:val="20"/>
          <w:szCs w:val="20"/>
        </w:rPr>
        <w:t xml:space="preserve"> para la implantación de las instalaciones de energías renovables, en particular solar fotovoltaica y eólica, </w:t>
      </w:r>
      <w:r>
        <w:rPr>
          <w:rFonts w:ascii="Calibri" w:hAnsi="Calibri" w:asciiTheme="minorHAnsi" w:hAnsiTheme="minorHAnsi"/>
          <w:b/>
          <w:i/>
          <w:sz w:val="20"/>
          <w:szCs w:val="20"/>
          <w:u w:val="single"/>
        </w:rPr>
        <w:t>según la sensibilidad ambiental y territorial</w:t>
      </w:r>
      <w:r>
        <w:rPr>
          <w:rFonts w:ascii="Calibri" w:hAnsi="Calibri" w:asciiTheme="minorHAnsi" w:hAnsiTheme="minorHAnsi"/>
          <w:b/>
          <w:i/>
          <w:sz w:val="20"/>
          <w:szCs w:val="20"/>
        </w:rPr>
        <w:t xml:space="preserve"> al desarrollo de dichos proyectos de manera que se favorezca el proceso de tramitación de las instalaciones.</w:t>
      </w:r>
    </w:p>
    <w:p>
      <w:pPr>
        <w:pStyle w:val="Default"/>
        <w:rPr>
          <w:rFonts w:ascii="Calibri" w:hAnsi="Calibri" w:asciiTheme="minorHAnsi" w:hAnsiTheme="minorHAnsi"/>
          <w:color w:val="auto"/>
          <w:sz w:val="8"/>
          <w:szCs w:val="8"/>
        </w:rPr>
      </w:pPr>
      <w:r>
        <w:rPr>
          <w:rFonts w:asciiTheme="minorHAnsi" w:hAnsiTheme="minorHAnsi" w:ascii="Calibri" w:hAnsi="Calibri"/>
          <w:color w:val="auto"/>
          <w:sz w:val="8"/>
          <w:szCs w:val="8"/>
        </w:rPr>
      </w:r>
    </w:p>
    <w:p>
      <w:pPr>
        <w:pStyle w:val="Normal"/>
        <w:spacing w:lineRule="auto" w:line="240" w:before="0" w:after="0"/>
        <w:ind w:left="708" w:hanging="0"/>
        <w:jc w:val="both"/>
        <w:rPr>
          <w:b/>
          <w:b/>
          <w:i/>
          <w:i/>
          <w:sz w:val="20"/>
          <w:szCs w:val="20"/>
        </w:rPr>
      </w:pPr>
      <w:r>
        <w:rPr>
          <w:b/>
          <w:i/>
          <w:sz w:val="20"/>
          <w:szCs w:val="20"/>
        </w:rPr>
        <w:t xml:space="preserve">– </w:t>
      </w:r>
      <w:r>
        <w:rPr>
          <w:b/>
          <w:i/>
          <w:sz w:val="20"/>
          <w:szCs w:val="20"/>
        </w:rPr>
        <w:t>Coordinación territorial con el resto de las infraestructuras necesarias para la evacuación de la energía eléctrica producida y previstas en la planificación estatal (subestaciones y redes de distribución y transporte de electricidad)”.</w:t>
      </w:r>
    </w:p>
    <w:p>
      <w:pPr>
        <w:pStyle w:val="Normal"/>
        <w:spacing w:lineRule="auto" w:line="240" w:before="0" w:after="0"/>
        <w:ind w:left="708" w:hanging="0"/>
        <w:jc w:val="both"/>
        <w:rPr>
          <w:b/>
          <w:b/>
          <w:i/>
          <w:i/>
          <w:sz w:val="20"/>
          <w:szCs w:val="20"/>
        </w:rPr>
      </w:pPr>
      <w:r>
        <w:rPr>
          <w:b/>
          <w:i/>
          <w:sz w:val="20"/>
          <w:szCs w:val="20"/>
        </w:rPr>
      </w:r>
    </w:p>
    <w:p>
      <w:pPr>
        <w:pStyle w:val="NormalWeb"/>
        <w:shd w:val="clear" w:color="auto" w:fill="FFFFFF"/>
        <w:spacing w:beforeAutospacing="0" w:before="0" w:afterAutospacing="0" w:after="0"/>
        <w:jc w:val="both"/>
        <w:rPr>
          <w:rFonts w:ascii="Calibri" w:hAnsi="Calibri" w:asciiTheme="minorHAnsi" w:hAnsiTheme="minorHAnsi"/>
          <w:b/>
          <w:b/>
          <w:sz w:val="20"/>
          <w:szCs w:val="20"/>
        </w:rPr>
      </w:pPr>
      <w:r>
        <w:rPr>
          <w:rFonts w:ascii="Calibri" w:hAnsi="Calibri" w:asciiTheme="minorHAnsi" w:hAnsiTheme="minorHAnsi"/>
          <w:b/>
          <w:sz w:val="20"/>
          <w:szCs w:val="20"/>
        </w:rPr>
        <w:t xml:space="preserve">22. </w:t>
      </w:r>
      <w:r>
        <w:rPr>
          <w:rFonts w:ascii="Calibri" w:hAnsi="Calibri" w:asciiTheme="minorHAnsi" w:hAnsiTheme="minorHAnsi"/>
          <w:b/>
          <w:sz w:val="20"/>
          <w:szCs w:val="20"/>
          <w:u w:val="single"/>
        </w:rPr>
        <w:t>LA LEY DE EVALUACIÓN AMBIENTAL PRIORIZA LAS UBICACIONES EN ZONAS DE SENSIBILIDAD BAJA O MODERADA</w:t>
      </w:r>
    </w:p>
    <w:p>
      <w:pPr>
        <w:pStyle w:val="NormalWeb"/>
        <w:shd w:val="clear" w:color="auto" w:fill="FFFFFF"/>
        <w:spacing w:beforeAutospacing="0" w:before="0" w:afterAutospacing="0" w:after="0"/>
        <w:jc w:val="both"/>
        <w:rPr>
          <w:rFonts w:ascii="Calibri" w:hAnsi="Calibri" w:asciiTheme="minorHAnsi" w:hAnsiTheme="minorHAnsi"/>
          <w:sz w:val="8"/>
          <w:szCs w:val="8"/>
        </w:rPr>
      </w:pPr>
      <w:r>
        <w:rPr>
          <w:rFonts w:asciiTheme="minorHAnsi" w:hAnsiTheme="minorHAnsi" w:ascii="Calibri" w:hAnsi="Calibri"/>
          <w:sz w:val="8"/>
          <w:szCs w:val="8"/>
        </w:rPr>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ascii="Calibri" w:hAnsi="Calibri" w:asciiTheme="minorHAnsi" w:hAnsiTheme="minorHAnsi"/>
          <w:b/>
          <w:sz w:val="20"/>
          <w:szCs w:val="20"/>
        </w:rPr>
        <w:t xml:space="preserve">22.1. La Disposición adicional decimonovena de </w:t>
      </w:r>
      <w:r>
        <w:rPr>
          <w:rFonts w:cs="Arial" w:ascii="Calibri" w:hAnsi="Calibri" w:asciiTheme="minorHAnsi" w:hAnsiTheme="minorHAnsi"/>
          <w:b/>
          <w:sz w:val="20"/>
          <w:szCs w:val="20"/>
        </w:rPr>
        <w:t>de la ley 21/2013, de 9 de diciembre, de Evaluación ambiental señala:</w:t>
      </w:r>
    </w:p>
    <w:p>
      <w:pPr>
        <w:pStyle w:val="NormalWeb"/>
        <w:shd w:val="clear" w:color="auto" w:fill="FFFFFF"/>
        <w:spacing w:beforeAutospacing="0" w:before="0" w:afterAutospacing="0" w:after="0"/>
        <w:jc w:val="both"/>
        <w:rPr>
          <w:rFonts w:ascii="Calibri" w:hAnsi="Calibri" w:cs="Arial" w:asciiTheme="minorHAnsi" w:hAnsiTheme="minorHAnsi"/>
          <w:b/>
          <w:b/>
          <w:sz w:val="8"/>
          <w:szCs w:val="8"/>
        </w:rPr>
      </w:pPr>
      <w:r>
        <w:rPr>
          <w:rFonts w:cs="Arial" w:ascii="Calibri" w:hAnsi="Calibri"/>
          <w:b/>
          <w:sz w:val="8"/>
          <w:szCs w:val="8"/>
        </w:rPr>
      </w:r>
    </w:p>
    <w:p>
      <w:pPr>
        <w:pStyle w:val="Ttulo5"/>
        <w:spacing w:lineRule="auto" w:line="240" w:before="0" w:after="0"/>
        <w:ind w:left="708" w:hanging="0"/>
        <w:jc w:val="both"/>
        <w:rPr>
          <w:rFonts w:ascii="Calibri" w:hAnsi="Calibri" w:asciiTheme="minorHAnsi" w:hAnsiTheme="minorHAnsi"/>
          <w:b/>
          <w:b/>
          <w:i/>
          <w:i/>
          <w:color w:val="auto"/>
          <w:sz w:val="20"/>
          <w:szCs w:val="20"/>
        </w:rPr>
      </w:pPr>
      <w:r>
        <w:rPr>
          <w:rFonts w:ascii="Calibri" w:hAnsi="Calibri" w:asciiTheme="minorHAnsi" w:hAnsiTheme="minorHAnsi"/>
          <w:b/>
          <w:i/>
          <w:color w:val="auto"/>
          <w:sz w:val="20"/>
          <w:szCs w:val="20"/>
        </w:rPr>
        <w:t>“</w:t>
      </w:r>
      <w:r>
        <w:rPr>
          <w:rFonts w:ascii="Calibri" w:hAnsi="Calibri" w:asciiTheme="minorHAnsi" w:hAnsiTheme="minorHAnsi"/>
          <w:b/>
          <w:i/>
          <w:color w:val="auto"/>
          <w:sz w:val="20"/>
          <w:szCs w:val="20"/>
        </w:rPr>
        <w:t>Priorización de expedientes de proyectos de generación eléctrica a partir de fuentes renovables.</w:t>
      </w:r>
    </w:p>
    <w:p>
      <w:pPr>
        <w:pStyle w:val="Parrafo"/>
        <w:spacing w:beforeAutospacing="0" w:before="0" w:afterAutospacing="0" w:after="0"/>
        <w:ind w:left="708" w:hanging="0"/>
        <w:jc w:val="both"/>
        <w:rPr>
          <w:rFonts w:ascii="Calibri" w:hAnsi="Calibri" w:asciiTheme="minorHAnsi" w:hAnsiTheme="minorHAnsi"/>
          <w:b/>
          <w:b/>
          <w:i/>
          <w:i/>
          <w:sz w:val="20"/>
          <w:szCs w:val="20"/>
        </w:rPr>
      </w:pPr>
      <w:r>
        <w:rPr>
          <w:rFonts w:ascii="Calibri" w:hAnsi="Calibri" w:asciiTheme="minorHAnsi" w:hAnsiTheme="minorHAnsi"/>
          <w:b/>
          <w:i/>
          <w:sz w:val="20"/>
          <w:szCs w:val="20"/>
        </w:rPr>
        <w:t xml:space="preserve">En la tramitación de los procedimientos de evaluación ambiental de proyectos de generación eléctrica a partir de fuentes renovables, se priorizará el despacho de los expedientes que correspondan a </w:t>
      </w:r>
      <w:r>
        <w:rPr>
          <w:rFonts w:ascii="Calibri" w:hAnsi="Calibri" w:asciiTheme="minorHAnsi" w:hAnsiTheme="minorHAnsi"/>
          <w:b/>
          <w:i/>
          <w:sz w:val="20"/>
          <w:szCs w:val="20"/>
          <w:u w:val="single"/>
        </w:rPr>
        <w:t>proyectos ubicados en zonas de sensibilidad baja y moderada, según la «Zonificación ambiental para la implantación de energías renovables»</w:t>
      </w:r>
      <w:r>
        <w:rPr>
          <w:rFonts w:ascii="Calibri" w:hAnsi="Calibri" w:asciiTheme="minorHAnsi" w:hAnsiTheme="minorHAnsi"/>
          <w:b/>
          <w:i/>
          <w:sz w:val="20"/>
          <w:szCs w:val="20"/>
        </w:rPr>
        <w:t>, elaborada por el Ministerio de Transición Ecológica y el Reto Demográfico”.</w:t>
      </w:r>
    </w:p>
    <w:p>
      <w:pPr>
        <w:pStyle w:val="Normal"/>
        <w:spacing w:lineRule="auto" w:line="240" w:before="0" w:after="0"/>
        <w:rPr/>
      </w:pPr>
      <w:r>
        <w:rPr/>
      </w:r>
    </w:p>
    <w:p>
      <w:pPr>
        <w:pStyle w:val="Normal"/>
        <w:spacing w:lineRule="auto" w:line="240" w:before="0" w:after="0"/>
        <w:jc w:val="both"/>
        <w:rPr>
          <w:rFonts w:cs="Arial"/>
          <w:b/>
          <w:b/>
          <w:sz w:val="20"/>
          <w:szCs w:val="20"/>
        </w:rPr>
      </w:pPr>
      <w:r>
        <w:rPr>
          <w:rFonts w:cs="Arial"/>
          <w:b/>
          <w:sz w:val="20"/>
          <w:szCs w:val="20"/>
        </w:rPr>
        <w:t xml:space="preserve">23. </w:t>
      </w:r>
      <w:r>
        <w:rPr>
          <w:rFonts w:cs="Arial"/>
          <w:b/>
          <w:sz w:val="20"/>
          <w:szCs w:val="20"/>
          <w:u w:val="single"/>
        </w:rPr>
        <w:t xml:space="preserve">LAS DIRECTRICES </w:t>
      </w:r>
      <w:r>
        <w:rPr>
          <w:b/>
          <w:sz w:val="20"/>
          <w:szCs w:val="20"/>
          <w:u w:val="single"/>
        </w:rPr>
        <w:t>PARA LA EVALUACIÓN DEL IMPACTO DE LOS PARQUES EÓLICOS ELABORADAS POR SEO/BIRDLIFE DETERMINAN QUE EL IMPACTO DE ESTAS INFRAESTRUCTURAS SOBRE LAS AVES ES MUY ALTO</w:t>
      </w:r>
    </w:p>
    <w:p>
      <w:pPr>
        <w:pStyle w:val="Normal"/>
        <w:spacing w:lineRule="auto" w:line="240" w:before="0" w:after="0"/>
        <w:jc w:val="both"/>
        <w:rPr>
          <w:rFonts w:cs="Arial"/>
          <w:b/>
          <w:b/>
          <w:sz w:val="8"/>
          <w:szCs w:val="8"/>
        </w:rPr>
      </w:pPr>
      <w:r>
        <w:rPr>
          <w:rFonts w:cs="Arial"/>
          <w:b/>
          <w:sz w:val="8"/>
          <w:szCs w:val="8"/>
        </w:rPr>
      </w:r>
    </w:p>
    <w:p>
      <w:pPr>
        <w:pStyle w:val="Normal"/>
        <w:spacing w:lineRule="auto" w:line="240" w:before="0" w:after="0"/>
        <w:jc w:val="both"/>
        <w:rPr>
          <w:b/>
          <w:b/>
          <w:sz w:val="20"/>
          <w:szCs w:val="20"/>
        </w:rPr>
      </w:pPr>
      <w:r>
        <w:rPr>
          <w:rFonts w:cs="Arial"/>
          <w:b/>
          <w:sz w:val="20"/>
          <w:szCs w:val="20"/>
        </w:rPr>
        <w:t xml:space="preserve">23.1. Las Directrices </w:t>
      </w:r>
      <w:r>
        <w:rPr>
          <w:b/>
          <w:sz w:val="20"/>
          <w:szCs w:val="20"/>
        </w:rPr>
        <w:t>para la evaluación del impacto de los parques eólicos elaboradas por SEO/BirdLife determinan  que el impacto de estas infraestructuras sobre las aves es muy alto.</w:t>
      </w:r>
    </w:p>
    <w:p>
      <w:pPr>
        <w:pStyle w:val="Normal"/>
        <w:spacing w:lineRule="auto" w:line="240" w:before="0" w:after="0"/>
        <w:jc w:val="both"/>
        <w:rPr>
          <w:b/>
          <w:b/>
          <w:sz w:val="8"/>
          <w:szCs w:val="8"/>
        </w:rPr>
      </w:pPr>
      <w:r>
        <w:rPr>
          <w:b/>
          <w:sz w:val="8"/>
          <w:szCs w:val="8"/>
        </w:rPr>
      </w:r>
    </w:p>
    <w:p>
      <w:pPr>
        <w:pStyle w:val="Normal"/>
        <w:spacing w:lineRule="auto" w:line="240" w:before="0" w:after="0"/>
        <w:jc w:val="both"/>
        <w:rPr>
          <w:rFonts w:cs="Arial"/>
          <w:b/>
          <w:b/>
          <w:sz w:val="20"/>
          <w:szCs w:val="20"/>
        </w:rPr>
      </w:pPr>
      <w:r>
        <w:rPr>
          <w:rFonts w:cs="Arial"/>
          <w:b/>
          <w:sz w:val="20"/>
          <w:szCs w:val="20"/>
        </w:rPr>
        <w:t>https://www.aeeolica.org/uploads/documents/564-directrices-para-la-evaluacion-del-impacto-de-los-parques-eolicos-en-aves-y-murcielagos_seo-birdlife.pdf</w:t>
      </w:r>
    </w:p>
    <w:p>
      <w:pPr>
        <w:pStyle w:val="Normal"/>
        <w:spacing w:lineRule="auto" w:line="240" w:before="0" w:after="0"/>
        <w:jc w:val="both"/>
        <w:rPr>
          <w:rFonts w:cs="Arial"/>
          <w:b/>
          <w:b/>
          <w:sz w:val="20"/>
          <w:szCs w:val="20"/>
        </w:rPr>
      </w:pPr>
      <w:r>
        <w:rPr>
          <w:rFonts w:cs="Arial"/>
          <w:b/>
          <w:sz w:val="20"/>
          <w:szCs w:val="20"/>
        </w:rPr>
      </w:r>
    </w:p>
    <w:p>
      <w:pPr>
        <w:pStyle w:val="Normal"/>
        <w:spacing w:lineRule="auto" w:line="240" w:before="0" w:after="0"/>
        <w:jc w:val="both"/>
        <w:rPr>
          <w:b/>
          <w:b/>
          <w:sz w:val="20"/>
          <w:szCs w:val="20"/>
        </w:rPr>
      </w:pPr>
      <w:r>
        <w:rPr>
          <w:rFonts w:cs="Arial"/>
          <w:b/>
          <w:sz w:val="20"/>
          <w:szCs w:val="20"/>
        </w:rPr>
        <w:t xml:space="preserve">En dicho Documento, </w:t>
      </w:r>
      <w:r>
        <w:rPr>
          <w:b/>
          <w:sz w:val="20"/>
          <w:szCs w:val="20"/>
        </w:rPr>
        <w:t xml:space="preserve">se establecen unos Criterios para valorar el impacto de la instalación de un parque eólico, basados en la sensibilidad de las áreas en las que potencialmente se podría ubicar un parque eólico y en el tamaño del parque según el número de aerogeneradores y su potencia. Aplicados estos criterios a los proyectos evaluados, la sensibilidad es «muy alta» y el tamaño se considera «grande»; por lo que el resultado obtenido como impacto potencial del parque evaluado es «Muy alto». </w:t>
      </w:r>
    </w:p>
    <w:p>
      <w:pPr>
        <w:pStyle w:val="Normal"/>
        <w:spacing w:lineRule="auto" w:line="240" w:before="0" w:after="0"/>
        <w:jc w:val="both"/>
        <w:rPr>
          <w:b/>
          <w:b/>
          <w:sz w:val="20"/>
          <w:szCs w:val="20"/>
        </w:rPr>
      </w:pPr>
      <w:r>
        <w:rPr>
          <w:b/>
          <w:sz w:val="20"/>
          <w:szCs w:val="20"/>
        </w:rPr>
      </w:r>
    </w:p>
    <w:p>
      <w:pPr>
        <w:pStyle w:val="Normal"/>
        <w:spacing w:lineRule="auto" w:line="240" w:before="0" w:after="0"/>
        <w:jc w:val="both"/>
        <w:rPr>
          <w:b/>
          <w:b/>
          <w:sz w:val="20"/>
          <w:szCs w:val="20"/>
        </w:rPr>
      </w:pPr>
      <w:r>
        <w:rPr>
          <w:b/>
          <w:sz w:val="20"/>
          <w:szCs w:val="20"/>
        </w:rPr>
        <w:t>En esta publicación se considera que «</w:t>
      </w:r>
      <w:r>
        <w:rPr>
          <w:b/>
          <w:i/>
          <w:sz w:val="20"/>
          <w:szCs w:val="20"/>
        </w:rPr>
        <w:t>De forma general, sólo deben considerarse como una alternativa viable aquellos proyectos que tengan un impacto potencial medio o bajo</w:t>
      </w:r>
      <w:r>
        <w:rPr>
          <w:b/>
          <w:sz w:val="20"/>
          <w:szCs w:val="20"/>
        </w:rPr>
        <w:t>». De acuerdo con estos criterios los parques eólicos proyectados en el Clúster Maestrazgo no se pueden considerar viables.</w:t>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b/>
          <w:sz w:val="20"/>
          <w:szCs w:val="20"/>
        </w:rPr>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asciiTheme="minorHAnsi" w:hAnsiTheme="minorHAnsi"/>
          <w:b/>
          <w:sz w:val="20"/>
          <w:szCs w:val="20"/>
        </w:rPr>
        <w:t>Para determinar que la sensibilidad potencial de las ubicaciones es “Muy alta” bastaría con que se cumpliera una sola de 12 condiciones y, estos proyectos, cumplen las siguientes:</w:t>
      </w:r>
    </w:p>
    <w:p>
      <w:pPr>
        <w:pStyle w:val="NormalWeb"/>
        <w:shd w:val="clear" w:color="auto" w:fill="FFFFFF"/>
        <w:spacing w:beforeAutospacing="0" w:before="0" w:afterAutospacing="0" w:after="0"/>
        <w:jc w:val="both"/>
        <w:rPr>
          <w:rFonts w:ascii="Calibri" w:hAnsi="Calibri" w:cs="Arial" w:asciiTheme="minorHAnsi" w:hAnsiTheme="minorHAnsi"/>
          <w:b/>
          <w:b/>
          <w:sz w:val="8"/>
          <w:szCs w:val="8"/>
        </w:rPr>
      </w:pPr>
      <w:r>
        <w:rPr>
          <w:rFonts w:cs="Arial" w:ascii="Calibri" w:hAnsi="Calibri"/>
          <w:b/>
          <w:sz w:val="8"/>
          <w:szCs w:val="8"/>
        </w:rPr>
      </w:r>
    </w:p>
    <w:p>
      <w:pPr>
        <w:pStyle w:val="Normal"/>
        <w:spacing w:lineRule="auto" w:line="240" w:before="0" w:after="0"/>
        <w:ind w:left="708" w:hanging="0"/>
        <w:jc w:val="both"/>
        <w:rPr>
          <w:rFonts w:cs="GillSans-Light"/>
          <w:b/>
          <w:b/>
          <w:i/>
          <w:i/>
          <w:sz w:val="20"/>
          <w:szCs w:val="20"/>
        </w:rPr>
      </w:pPr>
      <w:r>
        <w:rPr>
          <w:rFonts w:cs="GillSans-Light"/>
          <w:b/>
          <w:i/>
          <w:sz w:val="20"/>
          <w:szCs w:val="20"/>
        </w:rPr>
        <w:t xml:space="preserve">• </w:t>
      </w:r>
      <w:r>
        <w:rPr>
          <w:rFonts w:cs="GillSans-Light"/>
          <w:b/>
          <w:i/>
          <w:sz w:val="20"/>
          <w:szCs w:val="20"/>
        </w:rPr>
        <w:t>Que en la zona haya presencia de especies de aves o murciélagos catalogadas como Vulnerables, Sensibles a la Alteración de su Hábitat o en Peligro de Extinción en el Catálogo Estatal (o regional) de Especies</w:t>
      </w:r>
    </w:p>
    <w:p>
      <w:pPr>
        <w:pStyle w:val="Normal"/>
        <w:spacing w:lineRule="auto" w:line="240" w:before="0" w:after="0"/>
        <w:ind w:left="708" w:hanging="0"/>
        <w:jc w:val="both"/>
        <w:rPr>
          <w:rFonts w:cs="GillSans-Light"/>
          <w:b/>
          <w:b/>
          <w:i/>
          <w:i/>
          <w:sz w:val="20"/>
          <w:szCs w:val="20"/>
        </w:rPr>
      </w:pPr>
      <w:r>
        <w:rPr>
          <w:rFonts w:cs="GillSans-Light"/>
          <w:b/>
          <w:i/>
          <w:sz w:val="20"/>
          <w:szCs w:val="20"/>
        </w:rPr>
        <w:t>Amenazadas.</w:t>
      </w:r>
    </w:p>
    <w:p>
      <w:pPr>
        <w:pStyle w:val="Normal"/>
        <w:spacing w:lineRule="auto" w:line="240" w:before="0" w:after="0"/>
        <w:ind w:left="708" w:hanging="0"/>
        <w:jc w:val="both"/>
        <w:rPr>
          <w:rFonts w:cs="GillSans-Light"/>
          <w:b/>
          <w:b/>
          <w:i/>
          <w:i/>
          <w:sz w:val="20"/>
          <w:szCs w:val="20"/>
        </w:rPr>
      </w:pPr>
      <w:r>
        <w:rPr>
          <w:rFonts w:cs="GillSans-Light"/>
          <w:b/>
          <w:i/>
          <w:sz w:val="20"/>
          <w:szCs w:val="20"/>
        </w:rPr>
        <w:t xml:space="preserve">• </w:t>
      </w:r>
      <w:r>
        <w:rPr>
          <w:rFonts w:cs="GillSans-Light"/>
          <w:b/>
          <w:i/>
          <w:sz w:val="20"/>
          <w:szCs w:val="20"/>
        </w:rPr>
        <w:t>Que en la zona se hayan declarado áreas críticas o sensibles de especies de aves o murciélagos en sus correspondientes Planes de recuperación, conservación o manejo.</w:t>
      </w:r>
    </w:p>
    <w:p>
      <w:pPr>
        <w:pStyle w:val="Normal"/>
        <w:spacing w:lineRule="auto" w:line="240" w:before="0" w:after="0"/>
        <w:ind w:left="708" w:hanging="0"/>
        <w:jc w:val="both"/>
        <w:rPr>
          <w:rFonts w:cs="GillSans-Light"/>
          <w:b/>
          <w:b/>
          <w:i/>
          <w:i/>
          <w:sz w:val="20"/>
          <w:szCs w:val="20"/>
        </w:rPr>
      </w:pPr>
      <w:r>
        <w:rPr>
          <w:rFonts w:cs="GillSans-Light"/>
          <w:b/>
          <w:i/>
          <w:sz w:val="20"/>
          <w:szCs w:val="20"/>
        </w:rPr>
        <w:t xml:space="preserve">• </w:t>
      </w:r>
      <w:r>
        <w:rPr>
          <w:rFonts w:cs="GillSans-Light"/>
          <w:b/>
          <w:i/>
          <w:sz w:val="20"/>
          <w:szCs w:val="20"/>
        </w:rPr>
        <w:t>Que la zona presente a menos de 5 km grandes colonias o dormideros de aves (ardeidas, larolimícolas, aves marinas, rapaces, etc.)</w:t>
      </w:r>
    </w:p>
    <w:p>
      <w:pPr>
        <w:pStyle w:val="Normal"/>
        <w:spacing w:lineRule="auto" w:line="240" w:before="0" w:after="0"/>
        <w:ind w:left="708" w:hanging="0"/>
        <w:jc w:val="both"/>
        <w:rPr>
          <w:rFonts w:cs="GillSans-Light"/>
          <w:b/>
          <w:b/>
          <w:i/>
          <w:i/>
          <w:sz w:val="20"/>
          <w:szCs w:val="20"/>
        </w:rPr>
      </w:pPr>
      <w:r>
        <w:rPr>
          <w:rFonts w:cs="GillSans-Light"/>
          <w:b/>
          <w:i/>
          <w:sz w:val="20"/>
          <w:szCs w:val="20"/>
        </w:rPr>
        <w:t xml:space="preserve">• </w:t>
      </w:r>
      <w:r>
        <w:rPr>
          <w:rFonts w:cs="GillSans-Light"/>
          <w:b/>
          <w:i/>
          <w:sz w:val="20"/>
          <w:szCs w:val="20"/>
        </w:rPr>
        <w:t>Que la zona presente a menos de 15 km grandes colonias o dormideros de grandes rapaces.</w:t>
      </w:r>
    </w:p>
    <w:p>
      <w:pPr>
        <w:pStyle w:val="Normal"/>
        <w:spacing w:lineRule="auto" w:line="240" w:before="0" w:after="0"/>
        <w:ind w:left="708" w:hanging="0"/>
        <w:jc w:val="both"/>
        <w:rPr>
          <w:rFonts w:cs="GillSans-Light"/>
          <w:b/>
          <w:b/>
          <w:i/>
          <w:i/>
          <w:sz w:val="20"/>
          <w:szCs w:val="20"/>
        </w:rPr>
      </w:pPr>
      <w:r>
        <w:rPr>
          <w:rFonts w:cs="GillSans-Light"/>
          <w:b/>
          <w:i/>
          <w:sz w:val="20"/>
          <w:szCs w:val="20"/>
        </w:rPr>
        <w:t xml:space="preserve">• </w:t>
      </w:r>
      <w:r>
        <w:rPr>
          <w:rFonts w:cs="GillSans-Light"/>
          <w:b/>
          <w:i/>
          <w:sz w:val="20"/>
          <w:szCs w:val="20"/>
        </w:rPr>
        <w:t>Que la zona presente a menos de 5 km refugios importantes de murciélagos.</w:t>
      </w:r>
    </w:p>
    <w:p>
      <w:pPr>
        <w:pStyle w:val="Normal"/>
        <w:spacing w:lineRule="auto" w:line="240" w:before="0" w:after="0"/>
        <w:ind w:left="708" w:hanging="0"/>
        <w:jc w:val="both"/>
        <w:rPr>
          <w:rFonts w:cs="GillSans-Light"/>
          <w:b/>
          <w:b/>
          <w:i/>
          <w:i/>
          <w:sz w:val="20"/>
          <w:szCs w:val="20"/>
        </w:rPr>
      </w:pPr>
      <w:r>
        <w:rPr>
          <w:rFonts w:cs="GillSans-Light"/>
          <w:b/>
          <w:i/>
          <w:sz w:val="20"/>
          <w:szCs w:val="20"/>
        </w:rPr>
        <w:t xml:space="preserve">• </w:t>
      </w:r>
      <w:r>
        <w:rPr>
          <w:rFonts w:cs="GillSans-Light"/>
          <w:b/>
          <w:i/>
          <w:sz w:val="20"/>
          <w:szCs w:val="20"/>
        </w:rPr>
        <w:t>Que la zona esté designada como ZEPA, LIC (con presencia de murciélagos) o IBA.</w:t>
      </w:r>
    </w:p>
    <w:p>
      <w:pPr>
        <w:pStyle w:val="Normal"/>
        <w:spacing w:lineRule="auto" w:line="240" w:before="0" w:after="0"/>
        <w:ind w:left="708" w:hanging="0"/>
        <w:jc w:val="both"/>
        <w:rPr>
          <w:rFonts w:cs="GillSans-Light"/>
          <w:b/>
          <w:b/>
          <w:i/>
          <w:i/>
          <w:sz w:val="20"/>
          <w:szCs w:val="20"/>
        </w:rPr>
      </w:pPr>
      <w:r>
        <w:rPr>
          <w:rFonts w:cs="GillSans-Light"/>
          <w:b/>
          <w:i/>
          <w:sz w:val="20"/>
          <w:szCs w:val="20"/>
        </w:rPr>
        <w:t xml:space="preserve">• </w:t>
      </w:r>
      <w:r>
        <w:rPr>
          <w:rFonts w:cs="GillSans-Light"/>
          <w:b/>
          <w:i/>
          <w:sz w:val="20"/>
          <w:szCs w:val="20"/>
        </w:rPr>
        <w:t>Que la zona se encuentre entre dos ZEPA, LIC (con presencia de murciélagos) o IBA y a menos de 15 km de ambas.</w:t>
      </w:r>
    </w:p>
    <w:p>
      <w:pPr>
        <w:pStyle w:val="Normal"/>
        <w:spacing w:lineRule="auto" w:line="240" w:before="0" w:after="0"/>
        <w:ind w:left="708" w:hanging="0"/>
        <w:jc w:val="both"/>
        <w:rPr>
          <w:rFonts w:cs="GillSans-Light"/>
          <w:b/>
          <w:b/>
          <w:sz w:val="20"/>
          <w:szCs w:val="20"/>
        </w:rPr>
      </w:pPr>
      <w:r>
        <w:rPr>
          <w:rFonts w:cs="GillSans-Light"/>
          <w:b/>
          <w:i/>
          <w:sz w:val="20"/>
          <w:szCs w:val="20"/>
        </w:rPr>
        <w:t xml:space="preserve">• </w:t>
      </w:r>
      <w:r>
        <w:rPr>
          <w:rFonts w:cs="GillSans-Light"/>
          <w:b/>
          <w:i/>
          <w:sz w:val="20"/>
          <w:szCs w:val="20"/>
        </w:rPr>
        <w:t>Que se trate de un corredor para la migración de aves</w:t>
      </w:r>
      <w:r>
        <w:rPr>
          <w:rFonts w:cs="GillSans-Light"/>
          <w:b/>
          <w:sz w:val="20"/>
          <w:szCs w:val="20"/>
        </w:rPr>
        <w:t xml:space="preserve"> o murciélagos.</w:t>
      </w:r>
    </w:p>
    <w:p>
      <w:pPr>
        <w:pStyle w:val="Normal"/>
        <w:spacing w:lineRule="auto" w:line="240" w:before="0" w:after="0"/>
        <w:ind w:left="708" w:hanging="0"/>
        <w:jc w:val="both"/>
        <w:rPr>
          <w:rFonts w:cs="GillSans-Light"/>
          <w:b/>
          <w:b/>
          <w:sz w:val="20"/>
          <w:szCs w:val="20"/>
        </w:rPr>
      </w:pPr>
      <w:r>
        <w:rPr>
          <w:rFonts w:cs="GillSans-Light"/>
          <w:b/>
          <w:sz w:val="20"/>
          <w:szCs w:val="20"/>
        </w:rPr>
        <w:t xml:space="preserve">• </w:t>
      </w:r>
      <w:r>
        <w:rPr>
          <w:rFonts w:cs="GillSans-Light"/>
          <w:b/>
          <w:i/>
          <w:sz w:val="20"/>
          <w:szCs w:val="20"/>
        </w:rPr>
        <w:t>Que la zona presente altas densidades de rapaces.</w:t>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b/>
          <w:sz w:val="20"/>
          <w:szCs w:val="20"/>
        </w:rPr>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asciiTheme="minorHAnsi" w:hAnsiTheme="minorHAnsi"/>
          <w:b/>
          <w:sz w:val="20"/>
          <w:szCs w:val="20"/>
        </w:rPr>
        <w:t>Así pues, si el tamaño de los parque eólicos es “MUY GRANDE” (125 aerogeneradores) y la Sensibilidad “MUY ALTA”, obtenemos que el “Impacto potencial de un proyecto en esta zona concreta es MUY ALTO”</w:t>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b/>
          <w:sz w:val="20"/>
          <w:szCs w:val="20"/>
        </w:rPr>
      </w:r>
    </w:p>
    <w:p>
      <w:pPr>
        <w:pStyle w:val="Normal"/>
        <w:spacing w:lineRule="auto" w:line="240" w:before="0" w:after="0"/>
        <w:jc w:val="both"/>
        <w:rPr>
          <w:rFonts w:cs="DejaVuSans-Oblique"/>
          <w:b/>
          <w:b/>
          <w:iCs/>
          <w:sz w:val="20"/>
          <w:szCs w:val="20"/>
        </w:rPr>
      </w:pPr>
      <w:r>
        <w:rPr>
          <w:rFonts w:cs="DejaVuSans-Oblique"/>
          <w:b/>
          <w:iCs/>
          <w:sz w:val="20"/>
          <w:szCs w:val="20"/>
        </w:rPr>
        <w:t xml:space="preserve">24. </w:t>
      </w:r>
      <w:r>
        <w:rPr>
          <w:rFonts w:cs="DejaVuSans-Oblique"/>
          <w:b/>
          <w:iCs/>
          <w:sz w:val="20"/>
          <w:szCs w:val="20"/>
          <w:u w:val="single"/>
        </w:rPr>
        <w:t>LAS DECLARACIONES DE IMPACTO AMBIENTAL NO HAN TENIDO EN CUENTA LA AFECCIÓN SOBRE LA ALONDRA RICOTÍ, EN PELIGRO DE EXTINCIÓN</w:t>
      </w:r>
    </w:p>
    <w:p>
      <w:pPr>
        <w:pStyle w:val="Normal"/>
        <w:spacing w:lineRule="auto" w:line="240" w:before="0" w:after="0"/>
        <w:rPr>
          <w:rFonts w:ascii="DejaVuSans-Oblique" w:hAnsi="DejaVuSans-Oblique" w:cs="DejaVuSans-Oblique"/>
          <w:i/>
          <w:i/>
          <w:iCs/>
          <w:sz w:val="8"/>
          <w:szCs w:val="8"/>
        </w:rPr>
      </w:pPr>
      <w:r>
        <w:rPr>
          <w:rFonts w:cs="DejaVuSans-Oblique" w:ascii="DejaVuSans-Oblique" w:hAnsi="DejaVuSans-Oblique"/>
          <w:i/>
          <w:iCs/>
          <w:sz w:val="8"/>
          <w:szCs w:val="8"/>
        </w:rPr>
      </w:r>
    </w:p>
    <w:p>
      <w:pPr>
        <w:pStyle w:val="Normal"/>
        <w:spacing w:lineRule="auto" w:line="240" w:before="0" w:after="0"/>
        <w:jc w:val="both"/>
        <w:rPr>
          <w:rStyle w:val="Markedcontent"/>
          <w:rFonts w:eastAsia="Times New Roman"/>
          <w:b/>
          <w:b/>
          <w:sz w:val="20"/>
          <w:szCs w:val="20"/>
        </w:rPr>
      </w:pPr>
      <w:r>
        <w:rPr>
          <w:rStyle w:val="Markedcontent"/>
          <w:rFonts w:cs="Arial"/>
          <w:b/>
          <w:sz w:val="20"/>
          <w:szCs w:val="20"/>
        </w:rPr>
        <w:t xml:space="preserve">24.1. </w:t>
      </w:r>
      <w:r>
        <w:rPr>
          <w:rFonts w:eastAsia="Times New Roman"/>
          <w:b/>
          <w:sz w:val="20"/>
          <w:szCs w:val="20"/>
        </w:rPr>
        <w:t>En la zona este se identifica un área como ámbito potencial de aplicación del Plan de conservación de la alondra ricotí (Chersophilus dupont) en Aragón, cuya tramitación administrativa comenzó con la "Orden de inicio de 18 de diciembre de 2015, del Consejero del Departamento de Desarrollo Rural y Sostenibilidad, por el que se acuerda iniciar el proyecto de Decreto por el que se Establece un régimen de protección para la alondra ricotí (Chersophilus duponti) en Aragón, y se aprueba su Plan de conservación del hábitat". Esta zona denominada "Las Cabrillas cuenta con una cita del año 2008, estando pendiente de confirmar la evolución de la posible población en el territorio, si bien la zona cuenta con un hábitat propicio para la especie.</w:t>
      </w:r>
    </w:p>
    <w:p>
      <w:pPr>
        <w:pStyle w:val="Normal"/>
        <w:spacing w:lineRule="auto" w:line="240" w:before="0" w:after="0"/>
        <w:jc w:val="both"/>
        <w:rPr>
          <w:rStyle w:val="Markedcontent"/>
          <w:rFonts w:eastAsia="Times New Roman"/>
          <w:b/>
          <w:b/>
          <w:sz w:val="20"/>
          <w:szCs w:val="20"/>
        </w:rPr>
      </w:pPr>
      <w:r>
        <w:rPr>
          <w:rFonts w:eastAsia="Times New Roman"/>
          <w:b/>
          <w:sz w:val="20"/>
          <w:szCs w:val="20"/>
        </w:rPr>
      </w:r>
    </w:p>
    <w:p>
      <w:pPr>
        <w:pStyle w:val="Normal"/>
        <w:spacing w:lineRule="auto" w:line="240" w:before="0" w:after="0"/>
        <w:jc w:val="both"/>
        <w:rPr>
          <w:rFonts w:eastAsia="Times New Roman"/>
          <w:b/>
          <w:b/>
          <w:sz w:val="20"/>
          <w:szCs w:val="20"/>
        </w:rPr>
      </w:pPr>
      <w:r>
        <w:rPr>
          <w:b/>
          <w:sz w:val="20"/>
          <w:szCs w:val="20"/>
        </w:rPr>
        <w:t>24.2. Dice el Estudio de impacto ambiental:</w:t>
      </w:r>
    </w:p>
    <w:p>
      <w:pPr>
        <w:pStyle w:val="Normal"/>
        <w:spacing w:lineRule="auto" w:line="240" w:before="0" w:after="0"/>
        <w:jc w:val="both"/>
        <w:rPr>
          <w:b/>
          <w:b/>
          <w:sz w:val="8"/>
          <w:szCs w:val="8"/>
        </w:rPr>
      </w:pPr>
      <w:r>
        <w:rPr>
          <w:b/>
          <w:sz w:val="8"/>
          <w:szCs w:val="8"/>
        </w:rPr>
      </w:r>
    </w:p>
    <w:p>
      <w:pPr>
        <w:pStyle w:val="Normal"/>
        <w:spacing w:lineRule="auto" w:line="240" w:before="0" w:after="0"/>
        <w:ind w:left="708" w:hanging="0"/>
        <w:jc w:val="both"/>
        <w:rPr>
          <w:rFonts w:cs="Tahoma"/>
          <w:b/>
          <w:b/>
          <w:i/>
          <w:i/>
          <w:sz w:val="20"/>
          <w:szCs w:val="20"/>
        </w:rPr>
      </w:pPr>
      <w:r>
        <w:rPr>
          <w:rFonts w:cs="Tahoma"/>
          <w:b/>
          <w:i/>
          <w:sz w:val="20"/>
          <w:szCs w:val="20"/>
        </w:rPr>
        <w:t>“</w:t>
      </w:r>
      <w:r>
        <w:rPr>
          <w:rFonts w:cs="Tahoma"/>
          <w:b/>
          <w:i/>
          <w:sz w:val="20"/>
          <w:szCs w:val="20"/>
        </w:rPr>
        <w:t xml:space="preserve">El área critica de Las Cabrillas de La Iglesuela del Cid, se encuentra en el ámbito del PE Concejo I. Este territorio ha sido identificado a partir de una breve referencia publicada en la revista Rocín Vol VIII Anuario ornitológico de Aragón 2008-2011, en donde se cita la observación de un juvenil el 19-08-2008 entre el pueblo La Iglesuela del Cid y el Portell de Morella (J. Cerdá). </w:t>
      </w:r>
    </w:p>
    <w:p>
      <w:pPr>
        <w:pStyle w:val="Normal"/>
        <w:spacing w:lineRule="auto" w:line="240" w:before="0" w:after="0"/>
        <w:ind w:left="708" w:hanging="0"/>
        <w:jc w:val="both"/>
        <w:rPr>
          <w:rFonts w:cs="Tahoma"/>
          <w:b/>
          <w:b/>
          <w:i/>
          <w:i/>
          <w:sz w:val="20"/>
          <w:szCs w:val="20"/>
        </w:rPr>
      </w:pPr>
      <w:r>
        <w:rPr>
          <w:rFonts w:cs="Tahoma"/>
          <w:b/>
          <w:i/>
          <w:sz w:val="20"/>
          <w:szCs w:val="20"/>
        </w:rPr>
        <w:t>El área critica que aparece en el proyecto del Plan de conservación se ha delimitado, a partir de ortofoto identificando el hábitat adecuado para la especie, consistente en pastizal-matorral de escasa cobertura sobre terreno llano que se muestra en el gráfico adjunto”.</w:t>
      </w:r>
    </w:p>
    <w:p>
      <w:pPr>
        <w:pStyle w:val="Normal"/>
        <w:spacing w:lineRule="auto" w:line="240" w:before="0" w:after="0"/>
        <w:ind w:left="708" w:hanging="0"/>
        <w:jc w:val="both"/>
        <w:rPr>
          <w:rFonts w:cs="Tahoma"/>
          <w:b/>
          <w:b/>
          <w:i/>
          <w:i/>
          <w:sz w:val="20"/>
          <w:szCs w:val="20"/>
        </w:rPr>
      </w:pPr>
      <w:r>
        <w:rPr>
          <w:rFonts w:cs="Tahoma"/>
          <w:b/>
          <w:i/>
          <w:sz w:val="20"/>
          <w:szCs w:val="20"/>
        </w:rPr>
      </w:r>
    </w:p>
    <w:p>
      <w:pPr>
        <w:pStyle w:val="Normal"/>
        <w:spacing w:lineRule="auto" w:line="240" w:before="0" w:after="0"/>
        <w:rPr>
          <w:rFonts w:ascii="Tahoma" w:hAnsi="Tahoma" w:cs="Tahoma"/>
          <w:sz w:val="20"/>
          <w:szCs w:val="20"/>
        </w:rPr>
      </w:pPr>
      <w:r>
        <w:rPr/>
        <w:drawing>
          <wp:inline distT="0" distB="0" distL="0" distR="0">
            <wp:extent cx="5831840" cy="4592955"/>
            <wp:effectExtent l="0" t="0" r="0" b="0"/>
            <wp:docPr id="9" name="Imagen4" descr="E:\...0.2023.01.Fiscalía\Rocí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4" descr="E:\...0.2023.01.Fiscalía\Rocín.JPG"/>
                    <pic:cNvPicPr>
                      <a:picLocks noChangeAspect="1" noChangeArrowheads="1"/>
                    </pic:cNvPicPr>
                  </pic:nvPicPr>
                  <pic:blipFill>
                    <a:blip r:embed="rId24"/>
                    <a:stretch>
                      <a:fillRect/>
                    </a:stretch>
                  </pic:blipFill>
                  <pic:spPr bwMode="auto">
                    <a:xfrm>
                      <a:off x="0" y="0"/>
                      <a:ext cx="5831840" cy="4592955"/>
                    </a:xfrm>
                    <a:prstGeom prst="rect">
                      <a:avLst/>
                    </a:prstGeom>
                  </pic:spPr>
                </pic:pic>
              </a:graphicData>
            </a:graphic>
          </wp:inline>
        </w:drawing>
      </w:r>
    </w:p>
    <w:p>
      <w:pPr>
        <w:pStyle w:val="Normal"/>
        <w:tabs>
          <w:tab w:val="clear" w:pos="708"/>
          <w:tab w:val="left" w:pos="975" w:leader="none"/>
        </w:tabs>
        <w:spacing w:lineRule="auto" w:line="240" w:before="0" w:after="0"/>
        <w:rPr>
          <w:rStyle w:val="Markedcontent"/>
          <w:rFonts w:cs="Arial"/>
          <w:b/>
          <w:b/>
          <w:sz w:val="20"/>
          <w:szCs w:val="20"/>
        </w:rPr>
      </w:pPr>
      <w:r>
        <w:rPr>
          <w:rFonts w:cs="Arial"/>
          <w:b/>
          <w:sz w:val="20"/>
          <w:szCs w:val="20"/>
        </w:rPr>
      </w:r>
    </w:p>
    <w:p>
      <w:pPr>
        <w:pStyle w:val="Normal"/>
        <w:spacing w:lineRule="auto" w:line="240" w:before="0" w:after="0"/>
        <w:rPr>
          <w:rStyle w:val="Markedcontent"/>
          <w:rFonts w:cs="Arial"/>
          <w:b/>
          <w:b/>
          <w:sz w:val="20"/>
          <w:szCs w:val="20"/>
        </w:rPr>
      </w:pPr>
      <w:r>
        <w:rPr>
          <w:rStyle w:val="Markedcontent"/>
          <w:rFonts w:cs="Arial"/>
          <w:b/>
          <w:sz w:val="20"/>
          <w:szCs w:val="20"/>
        </w:rPr>
        <w:t>24.3. El Informe de la Dirección General de Medio Natural y Gestión Forestal de Aragón elaborado el 9 de abril de 2021, al ser consultada sobre la Autorización Administrativa previa de los parques eólicos del Clúster Maestrazgo señala:</w:t>
      </w:r>
    </w:p>
    <w:p>
      <w:pPr>
        <w:pStyle w:val="Normal"/>
        <w:spacing w:lineRule="auto" w:line="240" w:before="0" w:after="0"/>
        <w:rPr>
          <w:rFonts w:ascii="DejaVuSans" w:hAnsi="DejaVuSans" w:eastAsia="DejaVuSans-Bold" w:cs="DejaVuSans"/>
          <w:sz w:val="8"/>
          <w:szCs w:val="8"/>
        </w:rPr>
      </w:pPr>
      <w:r>
        <w:rPr>
          <w:rFonts w:eastAsia="DejaVuSans-Bold" w:cs="DejaVuSans" w:ascii="DejaVuSans" w:hAnsi="DejaVuSans"/>
          <w:sz w:val="8"/>
          <w:szCs w:val="8"/>
        </w:rPr>
      </w:r>
    </w:p>
    <w:p>
      <w:pPr>
        <w:pStyle w:val="Normal"/>
        <w:spacing w:lineRule="auto" w:line="240" w:before="0" w:after="0"/>
        <w:ind w:left="708" w:hanging="0"/>
        <w:jc w:val="both"/>
        <w:rPr>
          <w:rFonts w:eastAsia="Times New Roman"/>
          <w:b/>
          <w:b/>
          <w:i/>
          <w:i/>
          <w:sz w:val="20"/>
          <w:szCs w:val="20"/>
        </w:rPr>
      </w:pPr>
      <w:r>
        <w:rPr>
          <w:rFonts w:eastAsia="Times New Roman"/>
          <w:b/>
          <w:i/>
          <w:sz w:val="20"/>
          <w:szCs w:val="20"/>
        </w:rPr>
        <w:t>“</w:t>
      </w:r>
      <w:r>
        <w:rPr>
          <w:rFonts w:eastAsia="Times New Roman"/>
          <w:b/>
          <w:i/>
          <w:sz w:val="20"/>
          <w:szCs w:val="20"/>
        </w:rPr>
        <w:t>En la zona este se identifica un área como ámbito potencial de aplicación del Plan de conservación de la alondra ricotí (Chersophilus dupont) en Aragón, cuya tramitación administrativa comenzó con la "Orden de inicio de 18 de diciembre de 2015, del Consejero del Departamento de Desarrollo Rural y Sostenibilidad, por el que se acuerda iniciar el proyecto de Decreto por el que se Establece un régimen de protección para la alondra ricotí (Chersophilus duponti) en Aragón, y se aprueba su Plan de conservación del hábitat". Esta zona denominada "Las Cabrillas cuenta con una cita del año 2008, estando pendiente de confirmar la evolución de la posible población en el territorio, si bien la zona cuenta con un hábitat propicio para la especie.</w:t>
      </w:r>
      <w:r>
        <w:rPr>
          <w:rFonts w:eastAsia="Times New Roman"/>
          <w:b/>
          <w:sz w:val="20"/>
          <w:szCs w:val="20"/>
        </w:rPr>
        <w:t>(…)</w:t>
      </w:r>
    </w:p>
    <w:p>
      <w:pPr>
        <w:pStyle w:val="Normal"/>
        <w:spacing w:lineRule="auto" w:line="240" w:before="0" w:after="0"/>
        <w:ind w:left="708" w:hanging="0"/>
        <w:jc w:val="both"/>
        <w:rPr>
          <w:rFonts w:eastAsia="Times New Roman"/>
          <w:b/>
          <w:b/>
          <w:i/>
          <w:i/>
          <w:sz w:val="20"/>
          <w:szCs w:val="20"/>
        </w:rPr>
      </w:pPr>
      <w:r>
        <w:rPr>
          <w:rFonts w:eastAsia="Times New Roman"/>
          <w:b/>
          <w:i/>
          <w:sz w:val="20"/>
          <w:szCs w:val="20"/>
        </w:rPr>
        <w:t>el área que potencialmente podría verse afectada por las obras se incluye en el ámbito de aplicación del futuro Plan de conservación de la alondra ricotí (Chersophilus dupont) en Aragón, cuya tramitación administrativa se inició con la "Orden de inicio de 18 de diciembre de 2015, del Consejero del Departamento de Desarrollo Rural y Sostenibilidad”.</w:t>
      </w:r>
    </w:p>
    <w:p>
      <w:pPr>
        <w:pStyle w:val="Normal"/>
        <w:spacing w:lineRule="auto" w:line="240" w:before="0" w:after="0"/>
        <w:rPr>
          <w:rFonts w:eastAsia="DejaVuSans-Bold" w:cs="DejaVuSans"/>
          <w:b/>
          <w:b/>
          <w:sz w:val="8"/>
          <w:szCs w:val="8"/>
        </w:rPr>
      </w:pPr>
      <w:r>
        <w:rPr>
          <w:rFonts w:eastAsia="DejaVuSans-Bold" w:cs="DejaVuSans"/>
          <w:b/>
          <w:sz w:val="8"/>
          <w:szCs w:val="8"/>
        </w:rPr>
      </w:r>
    </w:p>
    <w:p>
      <w:pPr>
        <w:pStyle w:val="Normal"/>
        <w:spacing w:lineRule="auto" w:line="240" w:before="0" w:after="0"/>
        <w:rPr>
          <w:b/>
          <w:b/>
          <w:sz w:val="20"/>
          <w:szCs w:val="20"/>
        </w:rPr>
      </w:pPr>
      <w:hyperlink r:id="rId25">
        <w:r>
          <w:rPr>
            <w:rStyle w:val="EnlacedeInternet"/>
            <w:b/>
            <w:color w:val="auto"/>
            <w:sz w:val="20"/>
            <w:szCs w:val="20"/>
          </w:rPr>
          <w:t>https://drive.google.com/file/d/1Yd7w2she0zhmDKHRV-qRgv9WmuiG7s35/view</w:t>
        </w:r>
      </w:hyperlink>
    </w:p>
    <w:p>
      <w:pPr>
        <w:pStyle w:val="Normal"/>
        <w:spacing w:lineRule="auto" w:line="240" w:before="0" w:after="0"/>
        <w:rPr>
          <w:rFonts w:eastAsia="DejaVuSans-Bold" w:cs="DejaVuSans"/>
          <w:b/>
          <w:b/>
          <w:sz w:val="20"/>
          <w:szCs w:val="20"/>
        </w:rPr>
      </w:pPr>
      <w:r>
        <w:rPr>
          <w:rFonts w:eastAsia="DejaVuSans-Bold" w:cs="DejaVuSans"/>
          <w:b/>
          <w:sz w:val="20"/>
          <w:szCs w:val="20"/>
        </w:rPr>
      </w:r>
    </w:p>
    <w:p>
      <w:pPr>
        <w:pStyle w:val="Normal"/>
        <w:spacing w:lineRule="auto" w:line="240" w:before="0" w:after="0"/>
        <w:rPr>
          <w:rFonts w:cs="Helvetica"/>
          <w:b/>
          <w:b/>
          <w:sz w:val="20"/>
          <w:szCs w:val="20"/>
        </w:rPr>
      </w:pPr>
      <w:r>
        <w:rPr>
          <w:rFonts w:eastAsia="DejaVuSans-Bold" w:cs="DejaVuSans"/>
          <w:b/>
          <w:sz w:val="20"/>
          <w:szCs w:val="20"/>
        </w:rPr>
        <w:t xml:space="preserve">24.4. El </w:t>
      </w:r>
      <w:r>
        <w:rPr>
          <w:rFonts w:cs="Helvetica"/>
          <w:b/>
          <w:sz w:val="20"/>
          <w:szCs w:val="20"/>
        </w:rPr>
        <w:t>Informe del Instituto Aragonés de Gestión Ambiental de fecha 29 de junio de 2021 señala que:</w:t>
      </w:r>
    </w:p>
    <w:p>
      <w:pPr>
        <w:pStyle w:val="Normal"/>
        <w:spacing w:lineRule="auto" w:line="240" w:before="0" w:after="0"/>
        <w:rPr>
          <w:rFonts w:cs="Helvetica"/>
          <w:b/>
          <w:b/>
          <w:sz w:val="8"/>
          <w:szCs w:val="8"/>
        </w:rPr>
      </w:pPr>
      <w:r>
        <w:rPr>
          <w:rFonts w:cs="Helvetica"/>
          <w:b/>
          <w:sz w:val="8"/>
          <w:szCs w:val="8"/>
        </w:rPr>
      </w:r>
    </w:p>
    <w:p>
      <w:pPr>
        <w:pStyle w:val="Normal"/>
        <w:spacing w:lineRule="auto" w:line="240" w:before="0" w:after="0"/>
        <w:ind w:left="708" w:hanging="0"/>
        <w:jc w:val="both"/>
        <w:rPr>
          <w:rFonts w:cs="Helvetica"/>
          <w:b/>
          <w:b/>
          <w:i/>
          <w:i/>
          <w:sz w:val="20"/>
          <w:szCs w:val="20"/>
        </w:rPr>
      </w:pPr>
      <w:r>
        <w:rPr>
          <w:rFonts w:cs="Helvetica"/>
          <w:b/>
          <w:i/>
          <w:sz w:val="20"/>
          <w:szCs w:val="20"/>
        </w:rPr>
        <w:t>“</w:t>
      </w:r>
      <w:r>
        <w:rPr>
          <w:rFonts w:cs="Helvetica"/>
          <w:b/>
          <w:i/>
          <w:sz w:val="20"/>
          <w:szCs w:val="20"/>
        </w:rPr>
        <w:t>existe un territorio con posible presencia de alondra ricotí al este del término municipal de La lglesuela del Cid, afectado por el PE Concejo I, y que ha sido cartografiado para ser incluido en el futuro Plan de Conservación de alondra ricotí (</w:t>
      </w:r>
      <w:r>
        <w:rPr>
          <w:rFonts w:cs="Helvetica-Oblique"/>
          <w:b/>
          <w:i/>
          <w:iCs/>
          <w:sz w:val="20"/>
          <w:szCs w:val="20"/>
        </w:rPr>
        <w:t>Chersophilus duponti</w:t>
      </w:r>
      <w:r>
        <w:rPr>
          <w:rFonts w:cs="Helvetica"/>
          <w:b/>
          <w:i/>
          <w:sz w:val="20"/>
          <w:szCs w:val="20"/>
        </w:rPr>
        <w:t>) en Aragón, y cuya tramitación se inició mediante la Orden de 18 de diciembre de 2015, del Consejero del Departamento de Desarrollo Rural y Sostenibilidad, por el que se acuerda iniciar el proyecto de Decreto por el que se establece un régimen de protección para la alondra ricotí en Aragón y se aprueba su Plan de Conservación del hábitat”.</w:t>
      </w:r>
    </w:p>
    <w:p>
      <w:pPr>
        <w:pStyle w:val="Normal"/>
        <w:spacing w:lineRule="auto" w:line="240" w:before="0" w:after="0"/>
        <w:rPr>
          <w:rFonts w:eastAsia="DejaVuSans-Bold" w:cs="DejaVuSans"/>
          <w:b/>
          <w:b/>
          <w:sz w:val="8"/>
          <w:szCs w:val="8"/>
        </w:rPr>
      </w:pPr>
      <w:r>
        <w:rPr>
          <w:rFonts w:eastAsia="DejaVuSans-Bold" w:cs="DejaVuSans"/>
          <w:b/>
          <w:sz w:val="8"/>
          <w:szCs w:val="8"/>
        </w:rPr>
      </w:r>
    </w:p>
    <w:p>
      <w:pPr>
        <w:pStyle w:val="Normal"/>
        <w:spacing w:lineRule="auto" w:line="240" w:before="0" w:after="0"/>
        <w:rPr>
          <w:b/>
          <w:b/>
          <w:sz w:val="20"/>
          <w:szCs w:val="20"/>
        </w:rPr>
      </w:pPr>
      <w:hyperlink r:id="rId26">
        <w:r>
          <w:rPr>
            <w:rStyle w:val="EnlacedeInternet"/>
            <w:b/>
            <w:color w:val="auto"/>
            <w:sz w:val="20"/>
            <w:szCs w:val="20"/>
          </w:rPr>
          <w:t>https://drive.google.com/file/d/1Yd7w2she0zhmDKHRV-qRgv9WmuiG7s35/view?usp=share_link</w:t>
        </w:r>
      </w:hyperlink>
    </w:p>
    <w:p>
      <w:pPr>
        <w:pStyle w:val="Normal"/>
        <w:spacing w:lineRule="auto" w:line="240" w:before="0" w:after="0"/>
        <w:rPr>
          <w:rFonts w:eastAsia="DejaVuSans-Bold" w:cs="DejaVuSans"/>
          <w:b/>
          <w:b/>
          <w:sz w:val="20"/>
          <w:szCs w:val="20"/>
        </w:rPr>
      </w:pPr>
      <w:r>
        <w:rPr>
          <w:rFonts w:eastAsia="DejaVuSans-Bold" w:cs="DejaVuSans"/>
          <w:b/>
          <w:sz w:val="20"/>
          <w:szCs w:val="20"/>
        </w:rPr>
      </w:r>
    </w:p>
    <w:p>
      <w:pPr>
        <w:pStyle w:val="Normal"/>
        <w:spacing w:lineRule="auto" w:line="240" w:before="0" w:after="0"/>
        <w:jc w:val="both"/>
        <w:rPr>
          <w:rFonts w:eastAsia="DejaVuSans-Bold" w:cs="DejaVuSans"/>
          <w:b/>
          <w:b/>
          <w:sz w:val="20"/>
          <w:szCs w:val="20"/>
        </w:rPr>
      </w:pPr>
      <w:r>
        <w:rPr>
          <w:rFonts w:eastAsia="DejaVuSans-Bold" w:cs="DejaVuSans"/>
          <w:b/>
          <w:sz w:val="20"/>
          <w:szCs w:val="20"/>
        </w:rPr>
        <w:t>24.5. El parque eólico Concejo I afecta directamente a la población de Las Cabrillas. Dice el Estudio de impacto ambiental:</w:t>
      </w:r>
    </w:p>
    <w:p>
      <w:pPr>
        <w:pStyle w:val="Normal"/>
        <w:spacing w:lineRule="auto" w:line="240" w:before="0" w:after="0"/>
        <w:rPr>
          <w:rFonts w:cs="Calibri"/>
          <w:b/>
          <w:b/>
          <w:sz w:val="8"/>
          <w:szCs w:val="8"/>
        </w:rPr>
      </w:pPr>
      <w:r>
        <w:rPr>
          <w:rFonts w:cs="Calibri"/>
          <w:b/>
          <w:sz w:val="8"/>
          <w:szCs w:val="8"/>
        </w:rPr>
      </w:r>
    </w:p>
    <w:p>
      <w:pPr>
        <w:pStyle w:val="Normal"/>
        <w:spacing w:lineRule="auto" w:line="240" w:before="0" w:after="0"/>
        <w:ind w:left="708" w:hanging="0"/>
        <w:jc w:val="both"/>
        <w:rPr>
          <w:rFonts w:ascii="Calibri" w:hAnsi="Calibri" w:cs="Calibri"/>
          <w:b/>
          <w:b/>
          <w:i/>
          <w:i/>
          <w:sz w:val="20"/>
          <w:szCs w:val="20"/>
        </w:rPr>
      </w:pPr>
      <w:r>
        <w:rPr>
          <w:rFonts w:cs="Calibri"/>
          <w:b/>
          <w:i/>
          <w:sz w:val="20"/>
          <w:szCs w:val="20"/>
        </w:rPr>
        <w:t>“</w:t>
      </w:r>
      <w:r>
        <w:rPr>
          <w:rFonts w:cs="Calibri"/>
          <w:b/>
          <w:i/>
          <w:sz w:val="20"/>
          <w:szCs w:val="20"/>
        </w:rPr>
        <w:t xml:space="preserve">Existe una población conocida de alondra ricotí en Concejo 1 (población de “Las Cabrillas”) que de existir en la actualidad podría verse afectada por la instalación de dicho parque. Los trabajos de seguimiento desarrollados en el marco de este estudio no han detectado la presencia de la especie, ni en Concejo 1 ni en los otros parques proyectados, en ningún momento del año. </w:t>
      </w:r>
    </w:p>
    <w:p>
      <w:pPr>
        <w:pStyle w:val="NormalWeb"/>
        <w:shd w:val="clear" w:color="auto" w:fill="FFFFFF"/>
        <w:spacing w:beforeAutospacing="0" w:before="0" w:afterAutospacing="0" w:after="0"/>
        <w:ind w:left="708" w:hanging="0"/>
        <w:jc w:val="both"/>
        <w:rPr>
          <w:rFonts w:ascii="Calibri" w:hAnsi="Calibri" w:eastAsia="Calibri" w:cs="Calibri" w:eastAsiaTheme="minorHAnsi"/>
          <w:b/>
          <w:b/>
          <w:i/>
          <w:i/>
          <w:sz w:val="20"/>
          <w:szCs w:val="20"/>
          <w:lang w:eastAsia="en-US"/>
        </w:rPr>
      </w:pPr>
      <w:r>
        <w:rPr>
          <w:rFonts w:eastAsia="Calibri" w:cs="Calibri" w:ascii="Calibri" w:hAnsi="Calibri" w:eastAsiaTheme="minorHAnsi"/>
          <w:b/>
          <w:i/>
          <w:sz w:val="20"/>
          <w:szCs w:val="20"/>
          <w:lang w:eastAsia="en-US"/>
        </w:rPr>
        <w:t>Se ha valorado la posibilidad de que los terrenos donde se proyectan algunos parques puedan actuar como corredor biológico que conecte las presuntas poblaciones de alondra ricotí de Las Cabrillas (La Iglesuela del Cid) con otros núcleos de la provincia de Teruel, concluyéndose que los que reunirían características más adecuadas serían los parques Cid 1, Cid 2, Cid 3, Cid 4 y Cid 5”.</w:t>
      </w:r>
    </w:p>
    <w:p>
      <w:pPr>
        <w:pStyle w:val="Normal"/>
        <w:spacing w:lineRule="auto" w:line="240" w:before="0" w:after="0"/>
        <w:rPr>
          <w:rFonts w:eastAsia="DejaVuSans-Bold" w:cs="DejaVuSans"/>
          <w:b/>
          <w:b/>
          <w:sz w:val="20"/>
          <w:szCs w:val="20"/>
        </w:rPr>
      </w:pPr>
      <w:r>
        <w:rPr>
          <w:rFonts w:eastAsia="DejaVuSans-Bold" w:cs="DejaVuSans"/>
          <w:b/>
          <w:sz w:val="20"/>
          <w:szCs w:val="20"/>
        </w:rPr>
      </w:r>
    </w:p>
    <w:p>
      <w:pPr>
        <w:pStyle w:val="Normal"/>
        <w:spacing w:lineRule="auto" w:line="240" w:before="0" w:after="0"/>
        <w:jc w:val="both"/>
        <w:rPr>
          <w:rFonts w:cs="Arimo"/>
          <w:b/>
          <w:b/>
          <w:sz w:val="20"/>
          <w:szCs w:val="20"/>
        </w:rPr>
      </w:pPr>
      <w:r>
        <w:rPr>
          <w:rFonts w:cs="Calibri"/>
          <w:b/>
          <w:sz w:val="20"/>
          <w:szCs w:val="20"/>
        </w:rPr>
        <w:t xml:space="preserve">24.6. No se ha ampliado el periodo de seguimiento sobre la alondra ricotí como señalaba la Dirección General del Medio Natural de Aragón. </w:t>
      </w:r>
      <w:r>
        <w:rPr>
          <w:rFonts w:cs="Arimo"/>
          <w:b/>
          <w:sz w:val="20"/>
          <w:szCs w:val="20"/>
        </w:rPr>
        <w:t>Dice la DIA:</w:t>
      </w:r>
    </w:p>
    <w:p>
      <w:pPr>
        <w:pStyle w:val="Normal"/>
        <w:spacing w:lineRule="auto" w:line="240" w:before="0" w:after="0"/>
        <w:rPr>
          <w:rFonts w:cs="Arimo"/>
          <w:b/>
          <w:b/>
          <w:sz w:val="8"/>
          <w:szCs w:val="8"/>
        </w:rPr>
      </w:pPr>
      <w:r>
        <w:rPr>
          <w:rFonts w:cs="Arimo"/>
          <w:b/>
          <w:sz w:val="8"/>
          <w:szCs w:val="8"/>
        </w:rPr>
      </w:r>
    </w:p>
    <w:p>
      <w:pPr>
        <w:pStyle w:val="Normal"/>
        <w:spacing w:lineRule="auto" w:line="240" w:before="0" w:after="0"/>
        <w:ind w:left="708" w:hanging="0"/>
        <w:jc w:val="both"/>
        <w:rPr>
          <w:rFonts w:cs="Arimo"/>
          <w:b/>
          <w:b/>
          <w:i/>
          <w:i/>
          <w:sz w:val="20"/>
          <w:szCs w:val="20"/>
        </w:rPr>
      </w:pPr>
      <w:r>
        <w:rPr>
          <w:rFonts w:cs="Arimo"/>
          <w:b/>
          <w:i/>
          <w:sz w:val="20"/>
          <w:szCs w:val="20"/>
        </w:rPr>
        <w:t>“</w:t>
      </w:r>
      <w:r>
        <w:rPr>
          <w:rFonts w:cs="Arimo"/>
          <w:b/>
          <w:i/>
          <w:sz w:val="20"/>
          <w:szCs w:val="20"/>
        </w:rPr>
        <w:t>La Dirección General de Medio Natural y Gestión Forestal del Gobierno de Aragón informa respecto a la alondra ricotí, que considera necesario ampliar el periodo de seguimiento, con el fin de poder descartar de forma taxativa la presencia del ave en el ámbito del proyecto”.</w:t>
      </w:r>
    </w:p>
    <w:p>
      <w:pPr>
        <w:pStyle w:val="Normal"/>
        <w:spacing w:lineRule="auto" w:line="240" w:before="0" w:after="0"/>
        <w:rPr>
          <w:rFonts w:cs="Calibri"/>
          <w:b/>
          <w:b/>
          <w:sz w:val="20"/>
          <w:szCs w:val="20"/>
        </w:rPr>
      </w:pPr>
      <w:r>
        <w:rPr>
          <w:rFonts w:cs="Calibri"/>
          <w:b/>
          <w:sz w:val="20"/>
          <w:szCs w:val="20"/>
        </w:rPr>
      </w:r>
    </w:p>
    <w:p>
      <w:pPr>
        <w:pStyle w:val="Normal"/>
        <w:spacing w:lineRule="auto" w:line="240" w:before="0" w:after="0"/>
        <w:rPr>
          <w:rFonts w:cs="Calibri"/>
          <w:b/>
          <w:b/>
          <w:sz w:val="20"/>
          <w:szCs w:val="20"/>
        </w:rPr>
      </w:pPr>
      <w:r>
        <w:rPr>
          <w:rFonts w:cs="Calibri"/>
          <w:b/>
          <w:sz w:val="20"/>
          <w:szCs w:val="20"/>
        </w:rPr>
        <w:t>A este respecto decía la DGMN de Aragón:</w:t>
      </w:r>
    </w:p>
    <w:p>
      <w:pPr>
        <w:pStyle w:val="Normal"/>
        <w:spacing w:lineRule="auto" w:line="240" w:before="0" w:after="0"/>
        <w:rPr>
          <w:rFonts w:cs="Calibri"/>
          <w:b/>
          <w:b/>
          <w:sz w:val="8"/>
          <w:szCs w:val="8"/>
        </w:rPr>
      </w:pPr>
      <w:r>
        <w:rPr>
          <w:rFonts w:cs="Calibri"/>
          <w:b/>
          <w:sz w:val="8"/>
          <w:szCs w:val="8"/>
        </w:rPr>
      </w:r>
    </w:p>
    <w:p>
      <w:pPr>
        <w:pStyle w:val="Normal"/>
        <w:spacing w:lineRule="auto" w:line="240" w:before="0" w:after="0"/>
        <w:ind w:left="708" w:hanging="0"/>
        <w:jc w:val="both"/>
        <w:rPr>
          <w:rFonts w:eastAsia="Times New Roman"/>
          <w:b/>
          <w:b/>
          <w:i/>
          <w:i/>
          <w:sz w:val="20"/>
          <w:szCs w:val="20"/>
        </w:rPr>
      </w:pPr>
      <w:r>
        <w:rPr>
          <w:rFonts w:eastAsia="Times New Roman"/>
          <w:b/>
          <w:i/>
          <w:sz w:val="20"/>
          <w:szCs w:val="20"/>
        </w:rPr>
        <w:t>“</w:t>
      </w:r>
      <w:r>
        <w:rPr>
          <w:rFonts w:eastAsia="Times New Roman"/>
          <w:b/>
          <w:i/>
          <w:sz w:val="20"/>
          <w:szCs w:val="20"/>
        </w:rPr>
        <w:t>El seguimiento de estas pequeñas áreas, y especialmente de sus condiciones de adecuación para la especie, deben ajustarse a periodos más largos de tiempo (un dato puntual de un año no es útil en este sentido), con el fin de poder descartar de forma taxativa la presencia del ave y con ello, de la funcionalidad de la mancha de hábitat en cuestión desde la perspectiva de la conservación de la especie”.</w:t>
      </w:r>
    </w:p>
    <w:p>
      <w:pPr>
        <w:pStyle w:val="Normal"/>
        <w:spacing w:lineRule="auto" w:line="240" w:before="0" w:after="0"/>
        <w:ind w:left="708" w:hanging="0"/>
        <w:jc w:val="both"/>
        <w:rPr>
          <w:rFonts w:cs="Calibri"/>
          <w:b/>
          <w:b/>
          <w:i/>
          <w:i/>
          <w:sz w:val="20"/>
          <w:szCs w:val="20"/>
        </w:rPr>
      </w:pPr>
      <w:r>
        <w:rPr>
          <w:rFonts w:cs="Calibri"/>
          <w:b/>
          <w:i/>
          <w:sz w:val="20"/>
          <w:szCs w:val="20"/>
        </w:rPr>
      </w:r>
    </w:p>
    <w:p>
      <w:pPr>
        <w:pStyle w:val="Normal"/>
        <w:spacing w:lineRule="auto" w:line="240" w:before="0" w:after="0"/>
        <w:jc w:val="both"/>
        <w:rPr>
          <w:rFonts w:cs="Calibri"/>
          <w:b/>
          <w:b/>
          <w:sz w:val="20"/>
          <w:szCs w:val="20"/>
        </w:rPr>
      </w:pPr>
      <w:r>
        <w:rPr>
          <w:rFonts w:cs="Calibri"/>
          <w:b/>
          <w:sz w:val="20"/>
          <w:szCs w:val="20"/>
        </w:rPr>
        <w:t>24.7. La alondra ricotí, desde septiembre de 2022 está catalogada como “En peligro de extinción” en el Catálogo Aragonés de Especies Amenazadas. Esta protección es superior a la que tenía cuando se elaboró el Estudio de impacto ambiental.</w:t>
      </w:r>
    </w:p>
    <w:p>
      <w:pPr>
        <w:pStyle w:val="Normal"/>
        <w:spacing w:lineRule="auto" w:line="240" w:before="0" w:after="0"/>
        <w:rPr>
          <w:rFonts w:cs="Arial"/>
          <w:b/>
          <w:b/>
          <w:sz w:val="20"/>
          <w:szCs w:val="20"/>
        </w:rPr>
      </w:pPr>
      <w:r>
        <w:rPr>
          <w:rFonts w:cs="Arial"/>
          <w:b/>
          <w:sz w:val="20"/>
          <w:szCs w:val="20"/>
        </w:rPr>
      </w:r>
    </w:p>
    <w:p>
      <w:pPr>
        <w:pStyle w:val="Normal"/>
        <w:spacing w:lineRule="auto" w:line="240" w:before="0" w:after="0"/>
        <w:jc w:val="both"/>
        <w:rPr>
          <w:rFonts w:cs="DejaVuSans-Oblique"/>
          <w:b/>
          <w:b/>
          <w:iCs/>
          <w:sz w:val="20"/>
          <w:szCs w:val="20"/>
        </w:rPr>
      </w:pPr>
      <w:r>
        <w:rPr>
          <w:rFonts w:cs="DejaVuSans-Oblique"/>
          <w:b/>
          <w:iCs/>
          <w:sz w:val="20"/>
          <w:szCs w:val="20"/>
        </w:rPr>
        <w:t xml:space="preserve">24.8. </w:t>
      </w:r>
      <w:r>
        <w:rPr>
          <w:rFonts w:cs="DejaVuSans-Oblique"/>
          <w:b/>
          <w:iCs/>
          <w:sz w:val="20"/>
          <w:szCs w:val="20"/>
          <w:u w:val="single"/>
        </w:rPr>
        <w:t>La declaración de impacto de los parques eólicos señala equivocadamente que la alondra ricotí no se encuentra en la zona</w:t>
      </w:r>
    </w:p>
    <w:p>
      <w:pPr>
        <w:pStyle w:val="Normal"/>
        <w:spacing w:lineRule="auto" w:line="240" w:before="0" w:after="0"/>
        <w:rPr>
          <w:rFonts w:cs="Arial"/>
          <w:b/>
          <w:b/>
          <w:sz w:val="8"/>
          <w:szCs w:val="8"/>
        </w:rPr>
      </w:pPr>
      <w:r>
        <w:rPr>
          <w:rFonts w:cs="Arial"/>
          <w:b/>
          <w:sz w:val="8"/>
          <w:szCs w:val="8"/>
        </w:rPr>
      </w:r>
    </w:p>
    <w:p>
      <w:pPr>
        <w:pStyle w:val="Normal"/>
        <w:spacing w:lineRule="auto" w:line="240" w:before="0" w:after="0"/>
        <w:rPr>
          <w:b/>
          <w:b/>
          <w:sz w:val="20"/>
          <w:szCs w:val="20"/>
        </w:rPr>
      </w:pPr>
      <w:r>
        <w:rPr>
          <w:rFonts w:cs="Arial"/>
          <w:b/>
          <w:sz w:val="20"/>
          <w:szCs w:val="20"/>
        </w:rPr>
        <w:t xml:space="preserve">24.8.1. El promotor señala que no existe esta especie a pesar de que en 2015 este territorio se propuso como Área de recuperación de dicha especie. </w:t>
      </w:r>
      <w:r>
        <w:rPr>
          <w:b/>
          <w:sz w:val="20"/>
          <w:szCs w:val="20"/>
        </w:rPr>
        <w:t>Dice la DIA:</w:t>
      </w:r>
    </w:p>
    <w:p>
      <w:pPr>
        <w:pStyle w:val="Normal"/>
        <w:spacing w:lineRule="auto" w:line="240" w:before="0" w:after="0"/>
        <w:rPr>
          <w:rFonts w:cs="Arial"/>
          <w:b/>
          <w:b/>
          <w:sz w:val="8"/>
          <w:szCs w:val="8"/>
        </w:rPr>
      </w:pPr>
      <w:r>
        <w:rPr>
          <w:rFonts w:cs="Arial"/>
          <w:b/>
          <w:sz w:val="8"/>
          <w:szCs w:val="8"/>
        </w:rPr>
      </w:r>
    </w:p>
    <w:p>
      <w:pPr>
        <w:pStyle w:val="NormalWeb"/>
        <w:shd w:val="clear" w:color="auto" w:fill="FFFFFF"/>
        <w:spacing w:beforeAutospacing="0" w:before="0" w:afterAutospacing="0" w:after="0"/>
        <w:ind w:left="708" w:hanging="0"/>
        <w:jc w:val="both"/>
        <w:rPr>
          <w:rFonts w:ascii="Calibri" w:hAnsi="Calibri" w:asciiTheme="minorHAnsi" w:hAnsiTheme="minorHAnsi"/>
          <w:b/>
          <w:b/>
          <w:i/>
          <w:i/>
          <w:sz w:val="20"/>
          <w:szCs w:val="20"/>
        </w:rPr>
      </w:pPr>
      <w:r>
        <w:rPr>
          <w:rFonts w:ascii="Calibri" w:hAnsi="Calibri" w:asciiTheme="minorHAnsi" w:hAnsiTheme="minorHAnsi"/>
          <w:b/>
          <w:i/>
          <w:sz w:val="20"/>
          <w:szCs w:val="20"/>
        </w:rPr>
        <w:t>“</w:t>
      </w:r>
      <w:r>
        <w:rPr>
          <w:rFonts w:ascii="Calibri" w:hAnsi="Calibri" w:asciiTheme="minorHAnsi" w:hAnsiTheme="minorHAnsi"/>
          <w:b/>
          <w:i/>
          <w:sz w:val="20"/>
          <w:szCs w:val="20"/>
        </w:rPr>
        <w:t>Además, se han realizado censos específicos de alondra ricotí (Chersophilus duponti) en las poligonales de los PE El Cid I y Concejo I para su detección, sin resultado alguno que confirmara o hiciera sospechar su presencia”.</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Normal"/>
        <w:spacing w:lineRule="auto" w:line="240" w:before="0" w:after="0"/>
        <w:jc w:val="both"/>
        <w:rPr>
          <w:rFonts w:cs="Arial"/>
          <w:b/>
          <w:b/>
          <w:i/>
          <w:i/>
          <w:sz w:val="20"/>
          <w:szCs w:val="20"/>
          <w:u w:val="single"/>
        </w:rPr>
      </w:pPr>
      <w:r>
        <w:rPr>
          <w:rFonts w:cs="DejaVuSans-Oblique"/>
          <w:b/>
          <w:iCs/>
          <w:sz w:val="20"/>
          <w:szCs w:val="20"/>
        </w:rPr>
        <w:t xml:space="preserve">24.8.2. </w:t>
      </w:r>
      <w:r>
        <w:rPr>
          <w:rFonts w:cs="Arial"/>
          <w:b/>
          <w:kern w:val="2"/>
          <w:sz w:val="20"/>
          <w:szCs w:val="20"/>
        </w:rPr>
        <w:t xml:space="preserve">Hay que recordar que </w:t>
      </w:r>
      <w:r>
        <w:rPr>
          <w:rFonts w:cs="Arial"/>
          <w:b/>
          <w:sz w:val="20"/>
          <w:szCs w:val="20"/>
          <w:u w:val="single"/>
        </w:rPr>
        <w:t>lo relevante no es si ha habido o no avistamientos, sino si hay posibilidad real de que alguna  especie protegida, se vea afectada.</w:t>
      </w:r>
    </w:p>
    <w:p>
      <w:pPr>
        <w:pStyle w:val="Normal"/>
        <w:spacing w:lineRule="auto" w:line="240" w:before="0" w:after="0"/>
        <w:jc w:val="both"/>
        <w:rPr>
          <w:rFonts w:cs="Arial"/>
          <w:b/>
          <w:b/>
          <w:i/>
          <w:i/>
          <w:sz w:val="20"/>
          <w:szCs w:val="20"/>
          <w:u w:val="single"/>
        </w:rPr>
      </w:pPr>
      <w:r>
        <w:rPr>
          <w:rFonts w:cs="Arial"/>
          <w:b/>
          <w:i/>
          <w:sz w:val="20"/>
          <w:szCs w:val="20"/>
          <w:u w:val="single"/>
        </w:rPr>
      </w:r>
    </w:p>
    <w:p>
      <w:pPr>
        <w:pStyle w:val="Normal"/>
        <w:spacing w:lineRule="auto" w:line="240" w:before="0" w:after="0"/>
        <w:jc w:val="both"/>
        <w:rPr>
          <w:rFonts w:cs="Arial"/>
          <w:b/>
          <w:b/>
          <w:kern w:val="2"/>
          <w:sz w:val="20"/>
          <w:szCs w:val="20"/>
        </w:rPr>
      </w:pPr>
      <w:r>
        <w:rPr>
          <w:rFonts w:cs="Arial"/>
          <w:b/>
          <w:kern w:val="2"/>
          <w:sz w:val="20"/>
          <w:szCs w:val="20"/>
          <w:u w:val="single"/>
        </w:rPr>
        <w:t>La evaluación ambiental debe analizar no sólo el impacto, sino “la posibilidad” de impacto</w:t>
      </w:r>
      <w:r>
        <w:rPr>
          <w:rFonts w:cs="Arial"/>
          <w:b/>
          <w:kern w:val="2"/>
          <w:sz w:val="20"/>
          <w:szCs w:val="20"/>
        </w:rPr>
        <w:t xml:space="preserve">. El Fundamento de Derecho 2º de la Sentencia de casación de la Sala de lo Contencioso, sección 5ª Tribunal supremo, de 5 de mayo de 2017 (STS 1377/2017) señala lo siguiente: </w:t>
      </w:r>
    </w:p>
    <w:p>
      <w:pPr>
        <w:pStyle w:val="Normal"/>
        <w:spacing w:lineRule="auto" w:line="240" w:before="0" w:after="0"/>
        <w:jc w:val="both"/>
        <w:rPr>
          <w:rFonts w:cs="Arial"/>
          <w:b/>
          <w:b/>
          <w:kern w:val="2"/>
          <w:sz w:val="8"/>
          <w:szCs w:val="8"/>
        </w:rPr>
      </w:pPr>
      <w:r>
        <w:rPr>
          <w:rFonts w:cs="Arial"/>
          <w:b/>
          <w:kern w:val="2"/>
          <w:sz w:val="8"/>
          <w:szCs w:val="8"/>
        </w:rPr>
      </w:r>
    </w:p>
    <w:p>
      <w:pPr>
        <w:pStyle w:val="Normal"/>
        <w:spacing w:lineRule="auto" w:line="240" w:before="0" w:after="0"/>
        <w:ind w:left="708" w:hanging="0"/>
        <w:jc w:val="both"/>
        <w:rPr>
          <w:rFonts w:cs="Arial"/>
          <w:b/>
          <w:b/>
          <w:i/>
          <w:i/>
          <w:kern w:val="2"/>
          <w:sz w:val="20"/>
          <w:szCs w:val="20"/>
        </w:rPr>
      </w:pPr>
      <w:r>
        <w:rPr>
          <w:rFonts w:cs="Arial"/>
          <w:b/>
          <w:i/>
          <w:kern w:val="2"/>
          <w:sz w:val="20"/>
          <w:szCs w:val="20"/>
        </w:rPr>
        <w:t>“</w:t>
      </w:r>
      <w:r>
        <w:rPr>
          <w:rFonts w:cs="Arial"/>
          <w:b/>
          <w:i/>
          <w:kern w:val="2"/>
          <w:sz w:val="20"/>
          <w:szCs w:val="20"/>
        </w:rPr>
        <w:t xml:space="preserve">Las consecuencias de las explotaciones para las especies deben examinarse no solo en términos de destrucción de zonas critica de las mismas, sino que también debe tenerse en cuenta la fragmentación, deterioro y destrucción de hábitats potencialmente aptos para la recuperación de la especie, así como el incremento de las perturbaciones producidas sobre las especies. </w:t>
      </w:r>
      <w:r>
        <w:rPr>
          <w:rFonts w:cs="Arial"/>
          <w:b/>
          <w:i/>
          <w:kern w:val="2"/>
          <w:sz w:val="20"/>
          <w:szCs w:val="20"/>
          <w:u w:val="single"/>
        </w:rPr>
        <w:t>Como es sabido, no es necesario que quede acreditada la afectación del proyecto a una especie animal, bastando la potencialidad de ello</w:t>
      </w:r>
      <w:r>
        <w:rPr>
          <w:rFonts w:cs="Arial"/>
          <w:b/>
          <w:i/>
          <w:kern w:val="2"/>
          <w:sz w:val="20"/>
          <w:szCs w:val="20"/>
        </w:rPr>
        <w:t xml:space="preserve"> y esta potencialidad, a nuestro juicio, sí resulta acreditada por las pruebas aquí valoradas y, por ese motivo, como ya se dijo, </w:t>
      </w:r>
      <w:r>
        <w:rPr>
          <w:rFonts w:cs="Arial"/>
          <w:b/>
          <w:i/>
          <w:kern w:val="2"/>
          <w:sz w:val="20"/>
          <w:szCs w:val="20"/>
          <w:u w:val="single"/>
        </w:rPr>
        <w:t>lo relevante no es si ha habido o no avistamientos del urogallo, sino si hay posibilidad real</w:t>
      </w:r>
      <w:r>
        <w:rPr>
          <w:rFonts w:cs="Arial"/>
          <w:b/>
          <w:i/>
          <w:kern w:val="2"/>
          <w:sz w:val="20"/>
          <w:szCs w:val="20"/>
        </w:rPr>
        <w:t xml:space="preserve"> de que el urogallo, como especie protegida, se vea afectado por Parque Eólico”.</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Default"/>
        <w:jc w:val="both"/>
        <w:rPr>
          <w:rFonts w:ascii="Calibri" w:hAnsi="Calibri" w:asciiTheme="minorHAnsi" w:hAnsiTheme="minorHAnsi"/>
          <w:b/>
          <w:b/>
          <w:color w:val="auto"/>
          <w:sz w:val="20"/>
          <w:szCs w:val="20"/>
        </w:rPr>
      </w:pPr>
      <w:r>
        <w:rPr>
          <w:rFonts w:ascii="Calibri" w:hAnsi="Calibri" w:asciiTheme="minorHAnsi" w:hAnsiTheme="minorHAnsi"/>
          <w:b/>
          <w:color w:val="auto"/>
          <w:sz w:val="20"/>
          <w:szCs w:val="20"/>
        </w:rPr>
        <w:t xml:space="preserve">24.9. </w:t>
      </w:r>
      <w:r>
        <w:rPr>
          <w:rFonts w:ascii="Calibri" w:hAnsi="Calibri" w:asciiTheme="minorHAnsi" w:hAnsiTheme="minorHAnsi"/>
          <w:b/>
          <w:color w:val="auto"/>
          <w:sz w:val="20"/>
          <w:szCs w:val="20"/>
          <w:u w:val="single"/>
        </w:rPr>
        <w:t>La distancia umbral de los aerogeneradores al ámbito de la alondra ricotí deben ser como mínimo de 4, 5 km</w:t>
      </w:r>
    </w:p>
    <w:p>
      <w:pPr>
        <w:pStyle w:val="Default"/>
        <w:jc w:val="both"/>
        <w:rPr>
          <w:rFonts w:ascii="Calibri" w:hAnsi="Calibri" w:asciiTheme="minorHAnsi" w:hAnsiTheme="minorHAnsi"/>
          <w:b/>
          <w:b/>
          <w:color w:val="auto"/>
          <w:sz w:val="8"/>
          <w:szCs w:val="8"/>
        </w:rPr>
      </w:pPr>
      <w:r>
        <w:rPr>
          <w:rFonts w:asciiTheme="minorHAnsi" w:hAnsiTheme="minorHAnsi" w:ascii="Calibri" w:hAnsi="Calibri"/>
          <w:b/>
          <w:color w:val="auto"/>
          <w:sz w:val="8"/>
          <w:szCs w:val="8"/>
        </w:rPr>
      </w:r>
    </w:p>
    <w:p>
      <w:pPr>
        <w:pStyle w:val="Default"/>
        <w:jc w:val="both"/>
        <w:rPr>
          <w:rFonts w:ascii="Calibri" w:hAnsi="Calibri" w:asciiTheme="minorHAnsi" w:hAnsiTheme="minorHAnsi"/>
          <w:b/>
          <w:b/>
          <w:color w:val="auto"/>
        </w:rPr>
      </w:pPr>
      <w:r>
        <w:rPr>
          <w:rFonts w:ascii="Calibri" w:hAnsi="Calibri" w:asciiTheme="minorHAnsi" w:hAnsiTheme="minorHAnsi"/>
          <w:b/>
          <w:color w:val="auto"/>
          <w:sz w:val="20"/>
          <w:szCs w:val="20"/>
        </w:rPr>
        <w:t>24.9.1.</w:t>
      </w:r>
      <w:r>
        <w:rPr>
          <w:rFonts w:ascii="Calibri" w:hAnsi="Calibri" w:asciiTheme="minorHAnsi" w:hAnsiTheme="minorHAnsi"/>
          <w:b/>
          <w:color w:val="auto"/>
        </w:rPr>
        <w:t xml:space="preserve"> </w:t>
      </w:r>
      <w:r>
        <w:rPr>
          <w:rFonts w:ascii="Calibri" w:hAnsi="Calibri" w:asciiTheme="minorHAnsi" w:hAnsiTheme="minorHAnsi"/>
          <w:b/>
          <w:color w:val="auto"/>
          <w:sz w:val="20"/>
          <w:szCs w:val="20"/>
        </w:rPr>
        <w:t>Los últimos estudios relativos a la alondra ricotí que reflejan las tenden</w:t>
        <w:softHyphen/>
        <w:t>cias regresivas de esta especie, han puesto de manifiesto que la proximidad de los parques eólicos acelera el proceso de reducción de avistamientos del rocín, situando esta distancia umbral en 4,5 km. (Gómez-Catasús, J. et al, 2016).</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Normal"/>
        <w:spacing w:lineRule="auto" w:line="240" w:before="0" w:after="0"/>
        <w:jc w:val="both"/>
        <w:rPr>
          <w:rFonts w:eastAsia="DejaVuSans-Bold" w:cs="DejaVuSans"/>
          <w:b/>
          <w:b/>
          <w:sz w:val="20"/>
          <w:szCs w:val="20"/>
        </w:rPr>
      </w:pPr>
      <w:r>
        <w:rPr>
          <w:b/>
          <w:sz w:val="20"/>
          <w:szCs w:val="20"/>
        </w:rPr>
        <w:t>24.9</w:t>
      </w:r>
      <w:r>
        <w:rPr>
          <w:rFonts w:eastAsia="DejaVuSans-Bold" w:cs="DejaVuSans"/>
          <w:b/>
          <w:sz w:val="20"/>
          <w:szCs w:val="20"/>
        </w:rPr>
        <w:t xml:space="preserve">.2. </w:t>
      </w:r>
      <w:r>
        <w:rPr>
          <w:rFonts w:eastAsia="DejaVuSans-Bold" w:cs="DejaVuSans"/>
          <w:b/>
          <w:sz w:val="20"/>
          <w:szCs w:val="20"/>
          <w:u w:val="single"/>
        </w:rPr>
        <w:t>Debería respetarse una distancia a la futura zona de recuperación de Las Cabrillas de 4,5 km.</w:t>
      </w:r>
      <w:r>
        <w:rPr>
          <w:rFonts w:eastAsia="DejaVuSans-Bold" w:cs="DejaVuSans"/>
          <w:b/>
          <w:sz w:val="20"/>
          <w:szCs w:val="20"/>
        </w:rPr>
        <w:t xml:space="preserve">  El Informe del INAGA referente a las Consultas previas (2018) señala:</w:t>
      </w:r>
    </w:p>
    <w:p>
      <w:pPr>
        <w:pStyle w:val="Normal"/>
        <w:spacing w:lineRule="auto" w:line="240" w:before="0" w:after="0"/>
        <w:rPr>
          <w:rFonts w:ascii="DejaVuSans" w:hAnsi="DejaVuSans" w:eastAsia="DejaVuSans-Bold" w:cs="DejaVuSans"/>
          <w:sz w:val="8"/>
          <w:szCs w:val="8"/>
        </w:rPr>
      </w:pPr>
      <w:r>
        <w:rPr>
          <w:rFonts w:eastAsia="DejaVuSans-Bold" w:cs="DejaVuSans" w:ascii="DejaVuSans" w:hAnsi="DejaVuSans"/>
          <w:sz w:val="8"/>
          <w:szCs w:val="8"/>
        </w:rPr>
      </w:r>
    </w:p>
    <w:p>
      <w:pPr>
        <w:pStyle w:val="Normal"/>
        <w:spacing w:lineRule="auto" w:line="240" w:before="0" w:after="0"/>
        <w:ind w:left="708" w:hanging="0"/>
        <w:jc w:val="both"/>
        <w:rPr>
          <w:rFonts w:eastAsia="DejaVuSans-Bold" w:cs="DejaVuSans"/>
          <w:b/>
          <w:b/>
          <w:i/>
          <w:i/>
          <w:sz w:val="20"/>
          <w:szCs w:val="20"/>
          <w:u w:val="single"/>
        </w:rPr>
      </w:pPr>
      <w:r>
        <w:rPr>
          <w:rFonts w:eastAsia="DejaVuSans-Bold" w:cs="DejaVuSans"/>
          <w:b/>
          <w:i/>
          <w:sz w:val="20"/>
          <w:szCs w:val="20"/>
        </w:rPr>
        <w:t>“</w:t>
      </w:r>
      <w:r>
        <w:rPr>
          <w:rFonts w:eastAsia="DejaVuSans-Bold" w:cs="DejaVuSans"/>
          <w:b/>
          <w:i/>
          <w:sz w:val="20"/>
          <w:szCs w:val="20"/>
        </w:rPr>
        <w:t xml:space="preserve">La importancia del núcleo poblacional de la alondra ricotí de Las Cabrillas radica en la conexión con los puntos cercanos de Castellón y la posible continuidad que daría en la Sierras Ibéricas. La Dirección General de Sostenibilidad del Gobierno de Aragón recuerda que en los últimos estudios científicos publicados sobre la alondra ricotí (enero de 2018, British Ecological Society) </w:t>
      </w:r>
      <w:r>
        <w:rPr>
          <w:rFonts w:eastAsia="DejaVuSans-Bold" w:cs="DejaVuSans"/>
          <w:b/>
          <w:i/>
          <w:sz w:val="20"/>
          <w:szCs w:val="20"/>
          <w:u w:val="single"/>
        </w:rPr>
        <w:t>estima la distancia de los parques eólicos a los núcleos poblacionales en al menos 4,5 km</w:t>
      </w:r>
      <w:r>
        <w:rPr>
          <w:rFonts w:eastAsia="DejaVuSans-Bold" w:cs="DejaVuSans"/>
          <w:b/>
          <w:i/>
          <w:sz w:val="20"/>
          <w:szCs w:val="20"/>
        </w:rPr>
        <w:t xml:space="preserve"> para que las poblaciones no se vean afectadas de forma significativamente negativa, resaltando además el efecto negativo del aislamiento en relación a la proximidad de parques eólicos</w:t>
      </w:r>
      <w:r>
        <w:rPr>
          <w:rFonts w:eastAsia="DejaVuSans-Bold" w:cs="DejaVuSans"/>
          <w:b/>
          <w:i/>
          <w:sz w:val="20"/>
          <w:szCs w:val="20"/>
          <w:u w:val="single"/>
        </w:rPr>
        <w:t>. Además informa que el Área está igualmente preseleccionada para ser incluida dentro del futuro Plan de Conservación de la especie, cuya tramitación administrativa comenzó en 2015”</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Default"/>
        <w:jc w:val="both"/>
        <w:rPr>
          <w:rFonts w:ascii="Calibri" w:hAnsi="Calibri" w:asciiTheme="minorHAnsi" w:hAnsiTheme="minorHAnsi"/>
          <w:b/>
          <w:b/>
          <w:bCs/>
          <w:color w:val="auto"/>
          <w:sz w:val="20"/>
          <w:szCs w:val="20"/>
        </w:rPr>
      </w:pPr>
      <w:r>
        <w:rPr>
          <w:rFonts w:ascii="Calibri" w:hAnsi="Calibri" w:asciiTheme="minorHAnsi" w:hAnsiTheme="minorHAnsi"/>
          <w:b/>
          <w:color w:val="auto"/>
          <w:sz w:val="20"/>
          <w:szCs w:val="20"/>
        </w:rPr>
        <w:t>24.9</w:t>
      </w:r>
      <w:r>
        <w:rPr>
          <w:rFonts w:ascii="Calibri" w:hAnsi="Calibri" w:asciiTheme="minorHAnsi" w:hAnsiTheme="minorHAnsi"/>
          <w:b/>
          <w:bCs/>
          <w:color w:val="auto"/>
          <w:sz w:val="20"/>
          <w:szCs w:val="20"/>
        </w:rPr>
        <w:t>.3. La Resolución de 27 de febrero de 2020, por la que se formula DIA desfavorable para el Parque eólico El Frontón (BOA 27 de marzo de 2020) señala lo siguiente:</w:t>
      </w:r>
    </w:p>
    <w:p>
      <w:pPr>
        <w:pStyle w:val="Default"/>
        <w:jc w:val="both"/>
        <w:rPr>
          <w:rFonts w:ascii="Calibri" w:hAnsi="Calibri" w:asciiTheme="minorHAnsi" w:hAnsiTheme="minorHAnsi"/>
          <w:b/>
          <w:b/>
          <w:bCs/>
          <w:color w:val="auto"/>
          <w:sz w:val="8"/>
          <w:szCs w:val="8"/>
        </w:rPr>
      </w:pPr>
      <w:r>
        <w:rPr>
          <w:rFonts w:asciiTheme="minorHAnsi" w:hAnsiTheme="minorHAnsi" w:ascii="Calibri" w:hAnsi="Calibri"/>
          <w:b/>
          <w:bCs/>
          <w:color w:val="auto"/>
          <w:sz w:val="8"/>
          <w:szCs w:val="8"/>
        </w:rPr>
      </w:r>
    </w:p>
    <w:p>
      <w:pPr>
        <w:pStyle w:val="Default"/>
        <w:ind w:left="708" w:hanging="0"/>
        <w:jc w:val="both"/>
        <w:rPr>
          <w:rFonts w:ascii="Calibri" w:hAnsi="Calibri" w:asciiTheme="minorHAnsi" w:hAnsiTheme="minorHAnsi"/>
          <w:b/>
          <w:b/>
          <w:i/>
          <w:i/>
          <w:color w:val="auto"/>
          <w:sz w:val="20"/>
          <w:szCs w:val="20"/>
        </w:rPr>
      </w:pPr>
      <w:r>
        <w:rPr>
          <w:rFonts w:ascii="Calibri" w:hAnsi="Calibri" w:asciiTheme="minorHAnsi" w:hAnsiTheme="minorHAnsi"/>
          <w:b/>
          <w:i/>
          <w:color w:val="auto"/>
          <w:sz w:val="20"/>
          <w:szCs w:val="20"/>
        </w:rPr>
        <w:t>“</w:t>
      </w:r>
      <w:r>
        <w:rPr>
          <w:rFonts w:ascii="Calibri" w:hAnsi="Calibri" w:asciiTheme="minorHAnsi" w:hAnsiTheme="minorHAnsi"/>
          <w:b/>
          <w:i/>
          <w:color w:val="auto"/>
          <w:sz w:val="20"/>
          <w:szCs w:val="20"/>
        </w:rPr>
        <w:t>Para la evaluación de las afecciones sobre la alondra de dupont, entre otros, se ha analizado el estudio del grupo trabajo del Ministerio de Transición Ecológica de expertos para la alondra de dupont “Wind farms affect the occurence, abundance and population trends of small passerine bird: the case od thr Dupont´s lark” Gómez-Catasus, Julia; Garza, V. &amp; Traba, en el que se indica en el punto Síntesis y aplicación que este trabajo resalta el impacto negativo de los parques eólicos sobre las aves de tamaño pequeño, y proporciona 4.5 km como distancia umbral que debe ser tomada en cuenta en el diseño de los futuros proyectos de energía eólica. Relaciona, mediante un enfoque analítico basado en la tendencia poblacional, la variación en la abundancia y presencia de la especie, los impactos de los parques eólicos sobre las aves de pequeño tamaño”.</w:t>
      </w:r>
    </w:p>
    <w:p>
      <w:pPr>
        <w:pStyle w:val="Default"/>
        <w:jc w:val="both"/>
        <w:rPr>
          <w:rFonts w:ascii="Calibri" w:hAnsi="Calibri" w:asciiTheme="minorHAnsi" w:hAnsiTheme="minorHAnsi"/>
          <w:b/>
          <w:b/>
          <w:color w:val="auto"/>
          <w:sz w:val="8"/>
          <w:szCs w:val="8"/>
        </w:rPr>
      </w:pPr>
      <w:r>
        <w:rPr>
          <w:rFonts w:asciiTheme="minorHAnsi" w:hAnsiTheme="minorHAnsi" w:ascii="Calibri" w:hAnsi="Calibri"/>
          <w:b/>
          <w:color w:val="auto"/>
          <w:sz w:val="8"/>
          <w:szCs w:val="8"/>
        </w:rPr>
      </w:r>
    </w:p>
    <w:p>
      <w:pPr>
        <w:pStyle w:val="Default"/>
        <w:jc w:val="both"/>
        <w:rPr>
          <w:rFonts w:ascii="Calibri" w:hAnsi="Calibri" w:asciiTheme="minorHAnsi" w:hAnsiTheme="minorHAnsi"/>
          <w:b/>
          <w:b/>
          <w:color w:val="auto"/>
          <w:sz w:val="20"/>
          <w:szCs w:val="20"/>
        </w:rPr>
      </w:pPr>
      <w:hyperlink r:id="rId27">
        <w:r>
          <w:rPr>
            <w:rStyle w:val="EnlacedeInternet"/>
            <w:rFonts w:ascii="Calibri" w:hAnsi="Calibri" w:asciiTheme="minorHAnsi" w:hAnsiTheme="minorHAnsi"/>
            <w:b/>
            <w:color w:val="auto"/>
            <w:sz w:val="20"/>
            <w:szCs w:val="20"/>
          </w:rPr>
          <w:t>http://www.boa.aragon.es/cgi-bin/EBOA/BRSCGI?CMD=VEROBJ&amp;MLKOB=1112855143333&amp;type=pdf</w:t>
        </w:r>
      </w:hyperlink>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b/>
          <w:sz w:val="20"/>
          <w:szCs w:val="20"/>
        </w:rPr>
      </w:r>
    </w:p>
    <w:p>
      <w:pPr>
        <w:pStyle w:val="NormalWeb"/>
        <w:shd w:val="clear" w:color="auto" w:fill="FFFFFF"/>
        <w:spacing w:beforeAutospacing="0" w:before="0" w:afterAutospacing="0" w:after="0"/>
        <w:jc w:val="both"/>
        <w:rPr>
          <w:rFonts w:ascii="Calibri" w:hAnsi="Calibri" w:cs="Arial" w:asciiTheme="minorHAnsi" w:hAnsiTheme="minorHAnsi"/>
          <w:b/>
          <w:b/>
          <w:sz w:val="20"/>
          <w:szCs w:val="20"/>
          <w:u w:val="single"/>
        </w:rPr>
      </w:pPr>
      <w:r>
        <w:rPr>
          <w:rFonts w:cs="Arial" w:ascii="Calibri" w:hAnsi="Calibri" w:asciiTheme="minorHAnsi" w:hAnsiTheme="minorHAnsi"/>
          <w:b/>
          <w:sz w:val="20"/>
          <w:szCs w:val="20"/>
        </w:rPr>
        <w:t xml:space="preserve">25. </w:t>
      </w:r>
      <w:r>
        <w:rPr>
          <w:rFonts w:cs="Arial" w:ascii="Calibri" w:hAnsi="Calibri" w:asciiTheme="minorHAnsi" w:hAnsiTheme="minorHAnsi"/>
          <w:b/>
          <w:sz w:val="20"/>
          <w:szCs w:val="20"/>
          <w:u w:val="single"/>
        </w:rPr>
        <w:t>LA EVALUACIÓN DE IMPACTO AMBIENTAL NO VALORA SUFICIENTEMENTE QUE CINCO PARQUES EÓLICOS SON COLINDANTES CON LAS ÁREAS DE RECUPERACIÓN DEL ÁGUILA AZOR PERDICERA</w:t>
      </w:r>
    </w:p>
    <w:p>
      <w:pPr>
        <w:pStyle w:val="NormalWeb"/>
        <w:shd w:val="clear" w:color="auto" w:fill="FFFFFF"/>
        <w:spacing w:beforeAutospacing="0" w:before="0" w:afterAutospacing="0" w:after="0"/>
        <w:jc w:val="both"/>
        <w:rPr>
          <w:rFonts w:ascii="Calibri" w:hAnsi="Calibri" w:cs="Arial" w:asciiTheme="minorHAnsi" w:hAnsiTheme="minorHAnsi"/>
          <w:b/>
          <w:b/>
          <w:sz w:val="8"/>
          <w:szCs w:val="8"/>
          <w:u w:val="single"/>
        </w:rPr>
      </w:pPr>
      <w:r>
        <w:rPr>
          <w:rFonts w:cs="Arial" w:ascii="Calibri" w:hAnsi="Calibri"/>
          <w:b/>
          <w:sz w:val="8"/>
          <w:szCs w:val="8"/>
          <w:u w:val="single"/>
        </w:rPr>
      </w:r>
    </w:p>
    <w:p>
      <w:pPr>
        <w:pStyle w:val="Normal"/>
        <w:spacing w:lineRule="auto" w:line="240" w:before="0" w:after="0"/>
        <w:jc w:val="both"/>
        <w:rPr>
          <w:rFonts w:cs="Arial"/>
          <w:b/>
          <w:b/>
          <w:sz w:val="20"/>
          <w:szCs w:val="20"/>
        </w:rPr>
      </w:pPr>
      <w:r>
        <w:rPr>
          <w:rFonts w:cs="Arial"/>
          <w:b/>
          <w:sz w:val="20"/>
          <w:szCs w:val="20"/>
        </w:rPr>
        <w:t>25.1. El Órgano ambiental reconoce en la DIA que:</w:t>
      </w:r>
    </w:p>
    <w:p>
      <w:pPr>
        <w:pStyle w:val="Normal"/>
        <w:spacing w:lineRule="auto" w:line="240" w:before="0" w:after="0"/>
        <w:jc w:val="both"/>
        <w:rPr>
          <w:rFonts w:cs="Arial"/>
          <w:b/>
          <w:b/>
          <w:sz w:val="8"/>
          <w:szCs w:val="8"/>
        </w:rPr>
      </w:pPr>
      <w:r>
        <w:rPr>
          <w:rFonts w:cs="Arial"/>
          <w:b/>
          <w:sz w:val="8"/>
          <w:szCs w:val="8"/>
        </w:rPr>
      </w:r>
    </w:p>
    <w:p>
      <w:pPr>
        <w:pStyle w:val="Normal"/>
        <w:spacing w:lineRule="auto" w:line="240" w:before="0" w:after="0"/>
        <w:ind w:left="708" w:hanging="0"/>
        <w:jc w:val="both"/>
        <w:rPr>
          <w:rFonts w:cs="Arial"/>
          <w:b/>
          <w:b/>
          <w:i/>
          <w:i/>
          <w:sz w:val="20"/>
          <w:szCs w:val="20"/>
        </w:rPr>
      </w:pPr>
      <w:r>
        <w:rPr>
          <w:rFonts w:cs="Arial"/>
          <w:b/>
          <w:i/>
          <w:sz w:val="20"/>
          <w:szCs w:val="20"/>
        </w:rPr>
        <w:t>“</w:t>
      </w:r>
      <w:r>
        <w:rPr>
          <w:rFonts w:cs="Arial"/>
          <w:b/>
          <w:i/>
          <w:sz w:val="20"/>
          <w:szCs w:val="20"/>
        </w:rPr>
        <w:t>El Clúster Maestrazgo LIMITA, EN SU PARTE NORTE, CON LOS ÁMBITOS DE LOS PLANES DE RECUPERACIÓN DEL ÁGUILA PERDICERA Y DEL QUEBRANTAHUESOS EN ARAGÓN”.</w:t>
      </w:r>
    </w:p>
    <w:p>
      <w:pPr>
        <w:pStyle w:val="Normal"/>
        <w:spacing w:lineRule="auto" w:line="240" w:before="0" w:after="0"/>
        <w:jc w:val="both"/>
        <w:rPr>
          <w:rFonts w:cs="Arial"/>
          <w:b/>
          <w:b/>
          <w:sz w:val="20"/>
          <w:szCs w:val="20"/>
        </w:rPr>
      </w:pPr>
      <w:r>
        <w:rPr>
          <w:rFonts w:cs="Arial"/>
          <w:b/>
          <w:sz w:val="20"/>
          <w:szCs w:val="20"/>
        </w:rPr>
      </w:r>
    </w:p>
    <w:p>
      <w:pPr>
        <w:pStyle w:val="Normal"/>
        <w:spacing w:lineRule="auto" w:line="240" w:before="0" w:after="0"/>
        <w:jc w:val="both"/>
        <w:rPr>
          <w:rFonts w:cs="Arial"/>
          <w:b/>
          <w:b/>
          <w:sz w:val="20"/>
          <w:szCs w:val="20"/>
        </w:rPr>
      </w:pPr>
      <w:r>
        <w:rPr>
          <w:rFonts w:cs="Arial"/>
          <w:b/>
          <w:sz w:val="20"/>
          <w:szCs w:val="20"/>
        </w:rPr>
        <w:t>25.2. Las Áreas de los Planes de Recuperación del Quebrantahuesos y del Águila azor perdicera están colindantes con 5 parques eólicos de los 20 compatibles:</w:t>
      </w:r>
    </w:p>
    <w:p>
      <w:pPr>
        <w:pStyle w:val="Normal"/>
        <w:spacing w:lineRule="auto" w:line="240" w:before="0" w:after="0"/>
        <w:jc w:val="both"/>
        <w:rPr>
          <w:rFonts w:cs="Arial"/>
          <w:b/>
          <w:b/>
          <w:sz w:val="8"/>
          <w:szCs w:val="8"/>
        </w:rPr>
      </w:pPr>
      <w:r>
        <w:rPr>
          <w:rFonts w:cs="Arial"/>
          <w:b/>
          <w:sz w:val="8"/>
          <w:szCs w:val="8"/>
        </w:rPr>
      </w:r>
    </w:p>
    <w:p>
      <w:pPr>
        <w:pStyle w:val="Normal"/>
        <w:spacing w:lineRule="auto" w:line="240" w:before="0" w:after="0"/>
        <w:ind w:left="708" w:hanging="0"/>
        <w:jc w:val="both"/>
        <w:rPr>
          <w:rFonts w:cs="Arial"/>
          <w:b/>
          <w:b/>
          <w:i/>
          <w:i/>
          <w:sz w:val="20"/>
          <w:szCs w:val="20"/>
        </w:rPr>
      </w:pPr>
      <w:r>
        <w:rPr>
          <w:rFonts w:cs="Arial"/>
          <w:b/>
          <w:i/>
          <w:sz w:val="20"/>
          <w:szCs w:val="20"/>
        </w:rPr>
        <w:t>Cid I, Cid II, Cid III, Cid IV y Concejo III.</w:t>
      </w:r>
    </w:p>
    <w:p>
      <w:pPr>
        <w:pStyle w:val="Normal"/>
        <w:spacing w:lineRule="auto" w:line="240" w:before="0" w:after="0"/>
        <w:jc w:val="both"/>
        <w:rPr>
          <w:rFonts w:cs="Arial"/>
          <w:b/>
          <w:b/>
          <w:sz w:val="20"/>
          <w:szCs w:val="20"/>
        </w:rPr>
      </w:pPr>
      <w:r>
        <w:rPr>
          <w:rFonts w:cs="Arial"/>
          <w:b/>
          <w:sz w:val="20"/>
          <w:szCs w:val="20"/>
        </w:rPr>
      </w:r>
    </w:p>
    <w:p>
      <w:pPr>
        <w:pStyle w:val="Normal"/>
        <w:spacing w:lineRule="auto" w:line="240" w:before="0" w:after="0"/>
        <w:jc w:val="both"/>
        <w:rPr>
          <w:rFonts w:cs="Arial"/>
          <w:b/>
          <w:b/>
          <w:sz w:val="20"/>
          <w:szCs w:val="20"/>
        </w:rPr>
      </w:pPr>
      <w:r>
        <w:rPr>
          <w:rFonts w:cs="Arial"/>
          <w:b/>
          <w:sz w:val="20"/>
          <w:szCs w:val="20"/>
        </w:rPr>
        <w:t>Los otros 15 parques eólicos se encuentran a pocos centenares de metros de las Áreas de los Planes de Recuperación del Quebrantahuesos y del Águila Azor Perdicera.</w:t>
      </w:r>
    </w:p>
    <w:p>
      <w:pPr>
        <w:pStyle w:val="Normal"/>
        <w:spacing w:lineRule="auto" w:line="240" w:before="0" w:after="0"/>
        <w:jc w:val="both"/>
        <w:rPr>
          <w:rFonts w:cs="Arial"/>
          <w:b/>
          <w:b/>
          <w:sz w:val="20"/>
          <w:szCs w:val="20"/>
        </w:rPr>
      </w:pPr>
      <w:r>
        <w:rPr>
          <w:rFonts w:cs="Arial"/>
          <w:b/>
          <w:sz w:val="20"/>
          <w:szCs w:val="20"/>
        </w:rPr>
      </w:r>
    </w:p>
    <w:p>
      <w:pPr>
        <w:pStyle w:val="Normal"/>
        <w:spacing w:lineRule="auto" w:line="240" w:before="0" w:after="0"/>
        <w:jc w:val="both"/>
        <w:rPr>
          <w:rFonts w:cs="Arial"/>
          <w:b/>
          <w:b/>
          <w:sz w:val="20"/>
          <w:szCs w:val="20"/>
        </w:rPr>
      </w:pPr>
      <w:r>
        <w:rPr>
          <w:rFonts w:cs="Arial"/>
          <w:b/>
          <w:sz w:val="20"/>
          <w:szCs w:val="20"/>
        </w:rPr>
        <w:t>25.3. El Estudio de impacto ambiental, respecto al Águila azor perdicera, señala que a 6 km existe un nido de águila azor perdicera:</w:t>
      </w:r>
    </w:p>
    <w:p>
      <w:pPr>
        <w:pStyle w:val="Normal"/>
        <w:spacing w:lineRule="auto" w:line="240" w:before="0" w:after="0"/>
        <w:jc w:val="both"/>
        <w:rPr>
          <w:rFonts w:cs="Arial"/>
          <w:b/>
          <w:b/>
          <w:sz w:val="8"/>
          <w:szCs w:val="8"/>
        </w:rPr>
      </w:pPr>
      <w:r>
        <w:rPr>
          <w:rFonts w:cs="Arial"/>
          <w:b/>
          <w:sz w:val="8"/>
          <w:szCs w:val="8"/>
        </w:rPr>
      </w:r>
    </w:p>
    <w:p>
      <w:pPr>
        <w:pStyle w:val="Normal"/>
        <w:spacing w:lineRule="auto" w:line="240" w:before="0" w:after="0"/>
        <w:ind w:left="708" w:hanging="0"/>
        <w:jc w:val="both"/>
        <w:rPr>
          <w:rFonts w:cs="Tahoma"/>
          <w:b/>
          <w:b/>
          <w:i/>
          <w:i/>
          <w:sz w:val="20"/>
          <w:szCs w:val="20"/>
        </w:rPr>
      </w:pPr>
      <w:r>
        <w:rPr>
          <w:rFonts w:cs="Arial"/>
          <w:b/>
          <w:i/>
          <w:sz w:val="20"/>
          <w:szCs w:val="20"/>
        </w:rPr>
        <w:t>“</w:t>
      </w:r>
      <w:r>
        <w:rPr>
          <w:rFonts w:cs="Tahoma"/>
          <w:b/>
          <w:i/>
          <w:sz w:val="20"/>
          <w:szCs w:val="20"/>
        </w:rPr>
        <w:t xml:space="preserve">Considerando zona de amortiguación el territorio de 6 km de ancho que rodea los PP.EE. a fin de garantizar la no afección, solo entra en contacto con el nido situado en la ZEPA de Penyagolosa, en el TM de Vistabella del Maestrazgo (Castellón), aunque de forma efectiva, los aerogeneradores proyectados quedan a más de 6 km de la ubicación del nido”. </w:t>
      </w:r>
    </w:p>
    <w:p>
      <w:pPr>
        <w:pStyle w:val="Normal"/>
        <w:shd w:val="clear" w:color="auto" w:fill="FFFFFF" w:themeFill="background1"/>
        <w:spacing w:lineRule="auto" w:line="240" w:before="0" w:after="0"/>
        <w:rPr>
          <w:rFonts w:eastAsia="Times New Roman" w:cs="Times New Roman"/>
          <w:b/>
          <w:b/>
          <w:bCs/>
          <w:sz w:val="20"/>
          <w:szCs w:val="20"/>
          <w:lang w:eastAsia="es-ES"/>
        </w:rPr>
      </w:pPr>
      <w:r>
        <w:rPr>
          <w:rFonts w:eastAsia="Times New Roman" w:cs="Times New Roman"/>
          <w:b/>
          <w:bCs/>
          <w:sz w:val="20"/>
          <w:szCs w:val="20"/>
          <w:lang w:eastAsia="es-ES"/>
        </w:rPr>
      </w:r>
    </w:p>
    <w:p>
      <w:pPr>
        <w:pStyle w:val="Normal"/>
        <w:spacing w:lineRule="auto" w:line="240" w:before="0" w:after="0"/>
        <w:jc w:val="both"/>
        <w:rPr>
          <w:rStyle w:val="Markedcontent"/>
          <w:rFonts w:cs="Arial"/>
          <w:b/>
          <w:b/>
          <w:sz w:val="20"/>
          <w:szCs w:val="20"/>
        </w:rPr>
      </w:pPr>
      <w:r>
        <w:rPr>
          <w:rStyle w:val="Markedcontent"/>
          <w:rFonts w:cs="Arial"/>
          <w:b/>
          <w:sz w:val="20"/>
          <w:szCs w:val="20"/>
        </w:rPr>
        <w:t>25.4. El Informe de la Dirección General de Medio Natural y Gestión Forestal de Aragón elaborado el 9 de abril de 2021, al ser consultada sobre la Autorización Administrativa previa de los parques eólicos del Clúster Maestrazgo señala:</w:t>
      </w:r>
    </w:p>
    <w:p>
      <w:pPr>
        <w:pStyle w:val="Normal"/>
        <w:spacing w:lineRule="auto" w:line="240" w:before="0" w:after="0"/>
        <w:jc w:val="both"/>
        <w:rPr>
          <w:b/>
          <w:b/>
          <w:sz w:val="8"/>
          <w:szCs w:val="8"/>
        </w:rPr>
      </w:pPr>
      <w:r>
        <w:rPr>
          <w:b/>
          <w:sz w:val="8"/>
          <w:szCs w:val="8"/>
        </w:rPr>
      </w:r>
    </w:p>
    <w:p>
      <w:pPr>
        <w:pStyle w:val="Normal"/>
        <w:spacing w:lineRule="auto" w:line="240" w:before="0" w:after="0"/>
        <w:ind w:left="708" w:hanging="0"/>
        <w:jc w:val="both"/>
        <w:rPr>
          <w:rFonts w:eastAsia="Times New Roman"/>
          <w:b/>
          <w:b/>
          <w:i/>
          <w:i/>
          <w:sz w:val="20"/>
          <w:szCs w:val="20"/>
        </w:rPr>
      </w:pPr>
      <w:r>
        <w:rPr>
          <w:rFonts w:eastAsia="Times New Roman"/>
          <w:b/>
          <w:i/>
          <w:sz w:val="20"/>
          <w:szCs w:val="20"/>
        </w:rPr>
        <w:t>“</w:t>
      </w:r>
      <w:r>
        <w:rPr>
          <w:rFonts w:eastAsia="Times New Roman"/>
          <w:b/>
          <w:i/>
          <w:sz w:val="20"/>
          <w:szCs w:val="20"/>
        </w:rPr>
        <w:t>Aunque no se ve afectado directamente por las infraestructuras, el ámbito de aplicación del Decreto 326/2011, por el que se establece un régimen de protección para el águila-azor perdicera (Hieraaetus fasciatus) en Aragón, y se aprueba el Plan de recuperación, se sitúa al norte del clúster, con un área critica para la especie ubicada a 7 km del aerogenerador más cercano”.</w:t>
      </w:r>
    </w:p>
    <w:p>
      <w:pPr>
        <w:pStyle w:val="Normal"/>
        <w:shd w:val="clear" w:color="auto" w:fill="FFFFFF" w:themeFill="background1"/>
        <w:spacing w:lineRule="auto" w:line="240" w:before="0" w:after="0"/>
        <w:rPr>
          <w:rFonts w:eastAsia="Times New Roman" w:cs="Times New Roman"/>
          <w:b/>
          <w:b/>
          <w:bCs/>
          <w:sz w:val="20"/>
          <w:szCs w:val="20"/>
          <w:lang w:eastAsia="es-ES"/>
        </w:rPr>
      </w:pPr>
      <w:r>
        <w:rPr>
          <w:rFonts w:eastAsia="Times New Roman" w:cs="Times New Roman"/>
          <w:b/>
          <w:bCs/>
          <w:sz w:val="20"/>
          <w:szCs w:val="20"/>
          <w:lang w:eastAsia="es-ES"/>
        </w:rPr>
      </w:r>
    </w:p>
    <w:p>
      <w:pPr>
        <w:pStyle w:val="Normal"/>
        <w:shd w:val="clear" w:color="auto" w:fill="FFFFFF" w:themeFill="background1"/>
        <w:spacing w:lineRule="auto" w:line="240" w:before="0" w:after="0"/>
        <w:jc w:val="both"/>
        <w:rPr>
          <w:rFonts w:eastAsia="Times New Roman" w:cs="Times New Roman"/>
          <w:b/>
          <w:b/>
          <w:bCs/>
          <w:sz w:val="20"/>
          <w:szCs w:val="20"/>
          <w:lang w:eastAsia="es-ES"/>
        </w:rPr>
      </w:pPr>
      <w:r>
        <w:rPr>
          <w:rFonts w:eastAsia="Times New Roman" w:cs="Times New Roman"/>
          <w:b/>
          <w:bCs/>
          <w:sz w:val="20"/>
          <w:szCs w:val="20"/>
          <w:lang w:eastAsia="es-ES"/>
        </w:rPr>
        <w:t>25.5. Algún ejemplar de águila azor perdicera ha sido observado en la zona. El informe del INAGA de 29 de junio de 2021 señala lo siguiente:</w:t>
      </w:r>
    </w:p>
    <w:p>
      <w:pPr>
        <w:pStyle w:val="Normal"/>
        <w:shd w:val="clear" w:color="auto" w:fill="FFFFFF" w:themeFill="background1"/>
        <w:spacing w:lineRule="auto" w:line="240" w:before="0" w:after="0"/>
        <w:rPr>
          <w:rFonts w:eastAsia="Times New Roman" w:cs="Times New Roman"/>
          <w:b/>
          <w:b/>
          <w:bCs/>
          <w:sz w:val="8"/>
          <w:szCs w:val="8"/>
          <w:lang w:eastAsia="es-ES"/>
        </w:rPr>
      </w:pPr>
      <w:r>
        <w:rPr>
          <w:rFonts w:eastAsia="Times New Roman" w:cs="Times New Roman"/>
          <w:b/>
          <w:bCs/>
          <w:sz w:val="8"/>
          <w:szCs w:val="8"/>
          <w:lang w:eastAsia="es-ES"/>
        </w:rPr>
      </w:r>
    </w:p>
    <w:p>
      <w:pPr>
        <w:pStyle w:val="Normal"/>
        <w:spacing w:lineRule="auto" w:line="240" w:before="0" w:after="0"/>
        <w:ind w:left="708" w:hanging="0"/>
        <w:jc w:val="both"/>
        <w:rPr>
          <w:rFonts w:cs="Helvetica"/>
          <w:b/>
          <w:b/>
          <w:i/>
          <w:i/>
          <w:sz w:val="20"/>
          <w:szCs w:val="20"/>
        </w:rPr>
      </w:pPr>
      <w:r>
        <w:rPr>
          <w:rFonts w:cs="Helvetica"/>
          <w:b/>
          <w:i/>
          <w:sz w:val="20"/>
          <w:szCs w:val="20"/>
        </w:rPr>
        <w:t>“</w:t>
      </w:r>
      <w:r>
        <w:rPr>
          <w:rFonts w:cs="Helvetica"/>
          <w:b/>
          <w:i/>
          <w:sz w:val="20"/>
          <w:szCs w:val="20"/>
        </w:rPr>
        <w:t>durante el seguimiento anual no se han registrado observaciones a excepción de un ejemplar en los parques Cid I, Cid IV y en Concejo 1”.</w:t>
      </w:r>
    </w:p>
    <w:p>
      <w:pPr>
        <w:pStyle w:val="Normal"/>
        <w:spacing w:lineRule="auto" w:line="240" w:before="0" w:after="0"/>
        <w:ind w:left="708" w:hanging="0"/>
        <w:jc w:val="both"/>
        <w:rPr>
          <w:rFonts w:cs="Helvetica"/>
          <w:b/>
          <w:b/>
          <w:i/>
          <w:i/>
          <w:sz w:val="8"/>
          <w:szCs w:val="8"/>
        </w:rPr>
      </w:pPr>
      <w:r>
        <w:rPr>
          <w:rFonts w:cs="Helvetica"/>
          <w:b/>
          <w:i/>
          <w:sz w:val="8"/>
          <w:szCs w:val="8"/>
        </w:rPr>
      </w:r>
    </w:p>
    <w:p>
      <w:pPr>
        <w:pStyle w:val="Normal"/>
        <w:spacing w:lineRule="auto" w:line="240" w:before="0" w:after="0"/>
        <w:rPr>
          <w:b/>
          <w:b/>
        </w:rPr>
      </w:pPr>
      <w:hyperlink r:id="rId28">
        <w:r>
          <w:rPr>
            <w:rStyle w:val="EnlacedeInternet"/>
            <w:b/>
            <w:color w:val="auto"/>
            <w:sz w:val="20"/>
            <w:szCs w:val="20"/>
          </w:rPr>
          <w:t>https://drive.google.com/file/d/1Yd7w2she0zhmDKHRV-qRgv9WmuiG7s35/view?usp=share_link</w:t>
        </w:r>
      </w:hyperlink>
    </w:p>
    <w:p>
      <w:pPr>
        <w:pStyle w:val="Normal"/>
        <w:spacing w:lineRule="auto" w:line="240" w:before="0" w:after="0"/>
        <w:rPr>
          <w:rFonts w:cs="Helvetica"/>
          <w:sz w:val="20"/>
          <w:szCs w:val="20"/>
        </w:rPr>
      </w:pPr>
      <w:r>
        <w:rPr>
          <w:rFonts w:cs="Helvetica"/>
          <w:sz w:val="20"/>
          <w:szCs w:val="20"/>
        </w:rPr>
      </w:r>
    </w:p>
    <w:p>
      <w:pPr>
        <w:pStyle w:val="Normal"/>
        <w:spacing w:lineRule="auto" w:line="240" w:before="0" w:after="0"/>
        <w:jc w:val="both"/>
        <w:rPr>
          <w:rFonts w:cs="Arial"/>
          <w:b/>
          <w:b/>
          <w:sz w:val="20"/>
          <w:szCs w:val="20"/>
        </w:rPr>
      </w:pPr>
      <w:r>
        <w:rPr>
          <w:rFonts w:cs="Arial"/>
          <w:b/>
          <w:sz w:val="20"/>
          <w:szCs w:val="20"/>
        </w:rPr>
        <w:t>25.6. El Águila Azor Perdicera, en el Catálogo Español de Especies Amenazadas, tiene la categoría de VULNERABLE y en el Catálogo de Especies Amenazadas de Aragón, tiene la categoría de EN PELIGRO DE EXTINCIÓN</w:t>
      </w:r>
    </w:p>
    <w:p>
      <w:pPr>
        <w:pStyle w:val="Normal"/>
        <w:shd w:val="clear" w:color="auto" w:fill="FFFFFF" w:themeFill="background1"/>
        <w:spacing w:lineRule="auto" w:line="240" w:before="0" w:after="0"/>
        <w:rPr>
          <w:rFonts w:eastAsia="Times New Roman" w:cs="Times New Roman"/>
          <w:b/>
          <w:b/>
          <w:bCs/>
          <w:sz w:val="20"/>
          <w:szCs w:val="20"/>
          <w:lang w:eastAsia="es-ES"/>
        </w:rPr>
      </w:pPr>
      <w:r>
        <w:rPr>
          <w:rFonts w:eastAsia="Times New Roman" w:cs="Times New Roman"/>
          <w:b/>
          <w:bCs/>
          <w:sz w:val="20"/>
          <w:szCs w:val="20"/>
          <w:lang w:eastAsia="es-ES"/>
        </w:rPr>
      </w:r>
    </w:p>
    <w:p>
      <w:pPr>
        <w:pStyle w:val="Normal"/>
        <w:spacing w:lineRule="auto" w:line="240" w:before="0" w:after="0"/>
        <w:jc w:val="both"/>
        <w:rPr>
          <w:rFonts w:eastAsia="DejaVuSans-Bold" w:cs="DejaVuSans-Bold"/>
          <w:b/>
          <w:b/>
          <w:bCs/>
          <w:sz w:val="20"/>
          <w:szCs w:val="20"/>
        </w:rPr>
      </w:pPr>
      <w:r>
        <w:rPr>
          <w:rFonts w:eastAsia="DejaVuSans-Bold" w:cs="DejaVuSans-Bold"/>
          <w:b/>
          <w:bCs/>
          <w:sz w:val="20"/>
          <w:szCs w:val="20"/>
        </w:rPr>
        <w:t xml:space="preserve">25.7. </w:t>
      </w:r>
      <w:r>
        <w:rPr>
          <w:rFonts w:eastAsia="DejaVuSans-Bold" w:cs="DejaVuSans"/>
          <w:b/>
          <w:sz w:val="20"/>
          <w:szCs w:val="20"/>
        </w:rPr>
        <w:t>Uno de los principales valores por los que se declara la ZEPA - ES0000306 – Río</w:t>
      </w:r>
      <w:r>
        <w:rPr>
          <w:rFonts w:eastAsia="DejaVuSans-Bold" w:cs="DejaVuSans-Bold"/>
          <w:b/>
          <w:bCs/>
          <w:sz w:val="20"/>
          <w:szCs w:val="20"/>
        </w:rPr>
        <w:t xml:space="preserve"> </w:t>
      </w:r>
      <w:r>
        <w:rPr>
          <w:rFonts w:eastAsia="DejaVuSans-Bold" w:cs="DejaVuSans"/>
          <w:b/>
          <w:sz w:val="20"/>
          <w:szCs w:val="20"/>
        </w:rPr>
        <w:t xml:space="preserve">Guadalope – Maestrazgo, y cuya conservación es prioritaria, es precisamente esta especie. Este EPRN2000 se encuentra, de hecho, dentro del ámbito del Plan de recuperación del águila perdicera, aprobado mediante el Decreto 326/2011, en el que se prohíbe la instalación de parques eólicos o aerogeneradores en los espacios de la </w:t>
      </w:r>
      <w:r>
        <w:rPr>
          <w:rFonts w:cs="DejaVuSans"/>
          <w:b/>
          <w:sz w:val="20"/>
          <w:szCs w:val="20"/>
        </w:rPr>
        <w:t>Red Natura 2000 incluidos en su ámbito de aplicación. Aunque no se propone la instalación de aerogeneradores dentro de la ZEPA, ésta se vería rodeada por estas</w:t>
      </w:r>
      <w:r>
        <w:rPr>
          <w:rFonts w:eastAsia="DejaVuSans-Bold" w:cs="DejaVuSans"/>
          <w:b/>
          <w:sz w:val="20"/>
          <w:szCs w:val="20"/>
        </w:rPr>
        <w:t xml:space="preserve"> </w:t>
      </w:r>
      <w:r>
        <w:rPr>
          <w:rFonts w:cs="DejaVuSans"/>
          <w:b/>
          <w:sz w:val="20"/>
          <w:szCs w:val="20"/>
        </w:rPr>
        <w:t>infraestructuras</w:t>
      </w:r>
    </w:p>
    <w:p>
      <w:pPr>
        <w:pStyle w:val="Normal"/>
        <w:spacing w:lineRule="auto" w:line="240" w:before="0" w:after="0"/>
        <w:jc w:val="both"/>
        <w:rPr>
          <w:rFonts w:cs="DejaVuSans"/>
          <w:b/>
          <w:b/>
          <w:sz w:val="20"/>
          <w:szCs w:val="20"/>
        </w:rPr>
      </w:pPr>
      <w:r>
        <w:rPr>
          <w:rFonts w:cs="DejaVuSans"/>
          <w:b/>
          <w:sz w:val="20"/>
          <w:szCs w:val="20"/>
        </w:rPr>
        <w:t xml:space="preserve">Asimismo, </w:t>
      </w:r>
      <w:r>
        <w:rPr>
          <w:rFonts w:cs="DejaVuSans"/>
          <w:b/>
          <w:sz w:val="20"/>
          <w:szCs w:val="20"/>
          <w:u w:val="single"/>
        </w:rPr>
        <w:t>en la ubicación de las centrales Cid I y Concejo I se ha detectado la presencia de la especie al menos en tres ocasiones.</w:t>
      </w:r>
      <w:r>
        <w:rPr>
          <w:rFonts w:cs="DejaVuSans"/>
          <w:b/>
          <w:sz w:val="20"/>
          <w:szCs w:val="20"/>
        </w:rPr>
        <w:t xml:space="preserve"> Posiblemente se trate de la pareja asentada ya en la provincia de Castellón.</w:t>
      </w:r>
    </w:p>
    <w:p>
      <w:pPr>
        <w:pStyle w:val="Normal"/>
        <w:shd w:val="clear" w:color="auto" w:fill="FFFFFF" w:themeFill="background1"/>
        <w:spacing w:lineRule="auto" w:line="240" w:before="0" w:after="0"/>
        <w:rPr>
          <w:rFonts w:eastAsia="Times New Roman" w:cs="Times New Roman"/>
          <w:b/>
          <w:b/>
          <w:bCs/>
          <w:sz w:val="20"/>
          <w:szCs w:val="20"/>
          <w:lang w:eastAsia="es-ES"/>
        </w:rPr>
      </w:pPr>
      <w:r>
        <w:rPr>
          <w:rFonts w:eastAsia="Times New Roman" w:cs="Times New Roman"/>
          <w:b/>
          <w:bCs/>
          <w:sz w:val="20"/>
          <w:szCs w:val="20"/>
          <w:lang w:eastAsia="es-ES"/>
        </w:rPr>
      </w:r>
    </w:p>
    <w:p>
      <w:pPr>
        <w:pStyle w:val="Normal"/>
        <w:spacing w:lineRule="auto" w:line="240" w:before="0" w:after="0"/>
        <w:jc w:val="both"/>
        <w:rPr>
          <w:rFonts w:cs="Arial"/>
          <w:b/>
          <w:b/>
          <w:sz w:val="20"/>
          <w:szCs w:val="20"/>
        </w:rPr>
      </w:pPr>
      <w:r>
        <w:rPr>
          <w:rFonts w:cs="Arial"/>
          <w:b/>
          <w:sz w:val="20"/>
          <w:szCs w:val="20"/>
        </w:rPr>
        <w:t>25.8. Situación de los parques eólicos respecto a las Áreas de recuperación del Águila azor perdicera</w:t>
      </w:r>
    </w:p>
    <w:p>
      <w:pPr>
        <w:pStyle w:val="Normal"/>
        <w:spacing w:lineRule="auto" w:line="240" w:before="0" w:after="0"/>
        <w:jc w:val="both"/>
        <w:rPr>
          <w:rFonts w:cs="Arial"/>
          <w:b/>
          <w:b/>
          <w:sz w:val="20"/>
          <w:szCs w:val="20"/>
        </w:rPr>
      </w:pPr>
      <w:r>
        <w:rPr>
          <w:rFonts w:cs="Arial"/>
          <w:b/>
          <w:sz w:val="20"/>
          <w:szCs w:val="20"/>
        </w:rPr>
      </w:r>
    </w:p>
    <w:p>
      <w:pPr>
        <w:pStyle w:val="Normal"/>
        <w:spacing w:lineRule="auto" w:line="240" w:before="0" w:after="0"/>
        <w:jc w:val="center"/>
        <w:rPr>
          <w:rFonts w:cs="Arial"/>
          <w:b/>
          <w:b/>
          <w:sz w:val="20"/>
          <w:szCs w:val="20"/>
        </w:rPr>
      </w:pPr>
      <w:r>
        <w:rPr/>
        <w:drawing>
          <wp:inline distT="0" distB="0" distL="0" distR="0">
            <wp:extent cx="5831840" cy="4045585"/>
            <wp:effectExtent l="0" t="0" r="0" b="0"/>
            <wp:docPr id="10" name="Imagen6" descr="E:\...0.2023.01.Fiscalía\Perdicer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6" descr="E:\...0.2023.01.Fiscalía\Perdicera 1.JPG"/>
                    <pic:cNvPicPr>
                      <a:picLocks noChangeAspect="1" noChangeArrowheads="1"/>
                    </pic:cNvPicPr>
                  </pic:nvPicPr>
                  <pic:blipFill>
                    <a:blip r:embed="rId29"/>
                    <a:stretch>
                      <a:fillRect/>
                    </a:stretch>
                  </pic:blipFill>
                  <pic:spPr bwMode="auto">
                    <a:xfrm>
                      <a:off x="0" y="0"/>
                      <a:ext cx="5831840" cy="4045585"/>
                    </a:xfrm>
                    <a:prstGeom prst="rect">
                      <a:avLst/>
                    </a:prstGeom>
                  </pic:spPr>
                </pic:pic>
              </a:graphicData>
            </a:graphic>
          </wp:inline>
        </w:drawing>
      </w:r>
    </w:p>
    <w:p>
      <w:pPr>
        <w:pStyle w:val="Normal"/>
        <w:spacing w:lineRule="auto" w:line="240" w:before="0" w:after="0"/>
        <w:jc w:val="both"/>
        <w:rPr>
          <w:rFonts w:cs="Arial"/>
          <w:b/>
          <w:b/>
          <w:sz w:val="20"/>
          <w:szCs w:val="20"/>
        </w:rPr>
      </w:pPr>
      <w:r>
        <w:rPr>
          <w:rFonts w:cs="Arial"/>
          <w:b/>
          <w:sz w:val="20"/>
          <w:szCs w:val="20"/>
        </w:rPr>
      </w:r>
    </w:p>
    <w:p>
      <w:pPr>
        <w:pStyle w:val="Normal"/>
        <w:spacing w:lineRule="auto" w:line="240" w:before="0" w:after="0"/>
        <w:jc w:val="center"/>
        <w:rPr>
          <w:rFonts w:cs="Arial"/>
          <w:b/>
          <w:b/>
          <w:sz w:val="20"/>
          <w:szCs w:val="20"/>
        </w:rPr>
      </w:pPr>
      <w:r>
        <w:rPr/>
        <w:drawing>
          <wp:inline distT="0" distB="0" distL="0" distR="0">
            <wp:extent cx="5831840" cy="3698875"/>
            <wp:effectExtent l="0" t="0" r="0" b="0"/>
            <wp:docPr id="11" name="Imagen7" descr="E:\...0.2023.01.Fiscalía\Perdicer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7" descr="E:\...0.2023.01.Fiscalía\Perdicera 2.JPG"/>
                    <pic:cNvPicPr>
                      <a:picLocks noChangeAspect="1" noChangeArrowheads="1"/>
                    </pic:cNvPicPr>
                  </pic:nvPicPr>
                  <pic:blipFill>
                    <a:blip r:embed="rId30"/>
                    <a:stretch>
                      <a:fillRect/>
                    </a:stretch>
                  </pic:blipFill>
                  <pic:spPr bwMode="auto">
                    <a:xfrm>
                      <a:off x="0" y="0"/>
                      <a:ext cx="5831840" cy="3698875"/>
                    </a:xfrm>
                    <a:prstGeom prst="rect">
                      <a:avLst/>
                    </a:prstGeom>
                  </pic:spPr>
                </pic:pic>
              </a:graphicData>
            </a:graphic>
          </wp:inline>
        </w:drawing>
      </w:r>
    </w:p>
    <w:p>
      <w:pPr>
        <w:pStyle w:val="Normal"/>
        <w:spacing w:lineRule="auto" w:line="240" w:before="0" w:after="0"/>
        <w:jc w:val="both"/>
        <w:rPr>
          <w:rFonts w:cs="Arial"/>
          <w:b/>
          <w:b/>
          <w:sz w:val="20"/>
          <w:szCs w:val="20"/>
        </w:rPr>
      </w:pPr>
      <w:r>
        <w:rPr>
          <w:rFonts w:cs="Arial"/>
          <w:b/>
          <w:sz w:val="20"/>
          <w:szCs w:val="20"/>
        </w:rPr>
      </w:r>
    </w:p>
    <w:p>
      <w:pPr>
        <w:pStyle w:val="Normal"/>
        <w:spacing w:lineRule="auto" w:line="240" w:before="0" w:after="0"/>
        <w:jc w:val="center"/>
        <w:rPr>
          <w:rFonts w:cs="Arial"/>
          <w:b/>
          <w:b/>
          <w:sz w:val="20"/>
          <w:szCs w:val="20"/>
        </w:rPr>
      </w:pPr>
      <w:r>
        <w:rPr/>
        <w:drawing>
          <wp:inline distT="0" distB="0" distL="0" distR="0">
            <wp:extent cx="5831840" cy="3915410"/>
            <wp:effectExtent l="0" t="0" r="0" b="0"/>
            <wp:docPr id="12" name="Imagen 3" descr="E:\...0.2023.01.Fiscalía\Perdicer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3" descr="E:\...0.2023.01.Fiscalía\Perdicera 3.JPG"/>
                    <pic:cNvPicPr>
                      <a:picLocks noChangeAspect="1" noChangeArrowheads="1"/>
                    </pic:cNvPicPr>
                  </pic:nvPicPr>
                  <pic:blipFill>
                    <a:blip r:embed="rId31"/>
                    <a:stretch>
                      <a:fillRect/>
                    </a:stretch>
                  </pic:blipFill>
                  <pic:spPr bwMode="auto">
                    <a:xfrm>
                      <a:off x="0" y="0"/>
                      <a:ext cx="5831840" cy="3915410"/>
                    </a:xfrm>
                    <a:prstGeom prst="rect">
                      <a:avLst/>
                    </a:prstGeom>
                  </pic:spPr>
                </pic:pic>
              </a:graphicData>
            </a:graphic>
          </wp:inline>
        </w:drawing>
      </w:r>
    </w:p>
    <w:p>
      <w:pPr>
        <w:pStyle w:val="Normal"/>
        <w:shd w:val="clear" w:color="auto" w:fill="FFFFFF" w:themeFill="background1"/>
        <w:spacing w:lineRule="auto" w:line="240" w:before="0" w:after="0"/>
        <w:rPr>
          <w:rFonts w:eastAsia="Times New Roman" w:cs="Times New Roman"/>
          <w:b/>
          <w:b/>
          <w:bCs/>
          <w:sz w:val="20"/>
          <w:szCs w:val="20"/>
          <w:lang w:eastAsia="es-ES"/>
        </w:rPr>
      </w:pPr>
      <w:r>
        <w:rPr>
          <w:rFonts w:eastAsia="Times New Roman" w:cs="Times New Roman"/>
          <w:b/>
          <w:bCs/>
          <w:sz w:val="20"/>
          <w:szCs w:val="20"/>
          <w:lang w:eastAsia="es-ES"/>
        </w:rPr>
      </w:r>
    </w:p>
    <w:p>
      <w:pPr>
        <w:pStyle w:val="NormalWeb"/>
        <w:shd w:val="clear" w:color="auto" w:fill="FFFFFF"/>
        <w:spacing w:beforeAutospacing="0" w:before="0" w:afterAutospacing="0" w:after="0"/>
        <w:jc w:val="both"/>
        <w:rPr>
          <w:rFonts w:ascii="Calibri" w:hAnsi="Calibri" w:cs="Arial" w:asciiTheme="minorHAnsi" w:hAnsiTheme="minorHAnsi"/>
          <w:b/>
          <w:b/>
          <w:sz w:val="20"/>
          <w:szCs w:val="20"/>
          <w:u w:val="single"/>
        </w:rPr>
      </w:pPr>
      <w:r>
        <w:rPr>
          <w:rFonts w:cs="Arial" w:ascii="Calibri" w:hAnsi="Calibri" w:asciiTheme="minorHAnsi" w:hAnsiTheme="minorHAnsi"/>
          <w:b/>
          <w:sz w:val="20"/>
          <w:szCs w:val="20"/>
        </w:rPr>
        <w:t xml:space="preserve">26. </w:t>
      </w:r>
      <w:r>
        <w:rPr>
          <w:rFonts w:cs="Arial" w:ascii="Calibri" w:hAnsi="Calibri" w:asciiTheme="minorHAnsi" w:hAnsiTheme="minorHAnsi"/>
          <w:b/>
          <w:sz w:val="20"/>
          <w:szCs w:val="20"/>
          <w:u w:val="single"/>
        </w:rPr>
        <w:t>LA EVALUACIÓN DE IMPACTO AMBIENTAL NO VALORA SUFICIENTEMENTE QUE CINCO PARQUES EÓLICOS SON COLINDANTES CON LAS ÁREAS DE RECUPERACIÓN DEL QUEBRANTAHUESOS</w:t>
      </w:r>
    </w:p>
    <w:p>
      <w:pPr>
        <w:pStyle w:val="Normal"/>
        <w:spacing w:lineRule="auto" w:line="240" w:before="0" w:after="0"/>
        <w:jc w:val="both"/>
        <w:rPr>
          <w:rFonts w:cs="Arial"/>
          <w:b/>
          <w:b/>
          <w:sz w:val="8"/>
          <w:szCs w:val="8"/>
        </w:rPr>
      </w:pPr>
      <w:r>
        <w:rPr>
          <w:rFonts w:cs="Arial"/>
          <w:b/>
          <w:sz w:val="8"/>
          <w:szCs w:val="8"/>
        </w:rPr>
      </w:r>
    </w:p>
    <w:p>
      <w:pPr>
        <w:pStyle w:val="Normal"/>
        <w:spacing w:lineRule="auto" w:line="240" w:before="0" w:after="0"/>
        <w:jc w:val="both"/>
        <w:rPr>
          <w:rFonts w:cs="Arial"/>
          <w:b/>
          <w:b/>
          <w:sz w:val="20"/>
          <w:szCs w:val="20"/>
        </w:rPr>
      </w:pPr>
      <w:r>
        <w:rPr>
          <w:rFonts w:cs="Arial"/>
          <w:b/>
          <w:sz w:val="20"/>
          <w:szCs w:val="20"/>
        </w:rPr>
        <w:t>26.1. La DIA reconoce el riesgo que existe.  Señala:</w:t>
      </w:r>
    </w:p>
    <w:p>
      <w:pPr>
        <w:pStyle w:val="Normal"/>
        <w:spacing w:lineRule="auto" w:line="240" w:before="0" w:after="0"/>
        <w:jc w:val="both"/>
        <w:rPr>
          <w:rFonts w:cs="Arial"/>
          <w:b/>
          <w:b/>
          <w:sz w:val="8"/>
          <w:szCs w:val="8"/>
        </w:rPr>
      </w:pPr>
      <w:r>
        <w:rPr>
          <w:rFonts w:cs="Arial"/>
          <w:b/>
          <w:sz w:val="8"/>
          <w:szCs w:val="8"/>
        </w:rPr>
      </w:r>
    </w:p>
    <w:p>
      <w:pPr>
        <w:pStyle w:val="Normal"/>
        <w:spacing w:lineRule="auto" w:line="240" w:before="0" w:after="0"/>
        <w:ind w:left="708" w:hanging="0"/>
        <w:jc w:val="both"/>
        <w:rPr>
          <w:rFonts w:cs="Arial"/>
          <w:b/>
          <w:b/>
          <w:i/>
          <w:i/>
          <w:sz w:val="20"/>
          <w:szCs w:val="20"/>
        </w:rPr>
      </w:pPr>
      <w:r>
        <w:rPr>
          <w:rFonts w:cs="Arial"/>
          <w:b/>
          <w:i/>
          <w:sz w:val="20"/>
          <w:szCs w:val="20"/>
        </w:rPr>
        <w:t>“</w:t>
      </w:r>
      <w:r>
        <w:rPr>
          <w:rFonts w:cs="Arial"/>
          <w:b/>
          <w:i/>
          <w:sz w:val="20"/>
          <w:szCs w:val="20"/>
        </w:rPr>
        <w:t>La Dirección General de Medio Natural y Gestión Forestal del Gobierno de Aragón informa que en cuanto al quebrantahuesos, LA ACTUACIÓN PODRÍA AFECTAR A LOS OBJETIVOS DE CONSERVACIÓN DE SU PLAN DE RECUPERACIÓN, ya que las áreas de actividad identificadas se sitúan en el entorno del Clúster eólico y la existencia de dos puntos de alimentación suplementaria, uno de ellos en el interior del Clúster”</w:t>
      </w:r>
    </w:p>
    <w:p>
      <w:pPr>
        <w:pStyle w:val="Normal"/>
        <w:spacing w:lineRule="auto" w:line="240" w:before="0" w:after="0"/>
        <w:jc w:val="both"/>
        <w:rPr>
          <w:rFonts w:cs="Arial"/>
          <w:b/>
          <w:b/>
          <w:sz w:val="20"/>
          <w:szCs w:val="20"/>
        </w:rPr>
      </w:pPr>
      <w:r>
        <w:rPr>
          <w:rFonts w:cs="Arial"/>
          <w:b/>
          <w:sz w:val="20"/>
          <w:szCs w:val="20"/>
        </w:rPr>
      </w:r>
    </w:p>
    <w:p>
      <w:pPr>
        <w:pStyle w:val="Normal"/>
        <w:spacing w:lineRule="auto" w:line="240" w:before="0" w:after="0"/>
        <w:jc w:val="both"/>
        <w:rPr>
          <w:rFonts w:cs="Arial"/>
          <w:b/>
          <w:b/>
          <w:sz w:val="20"/>
          <w:szCs w:val="20"/>
        </w:rPr>
      </w:pPr>
      <w:r>
        <w:rPr>
          <w:rFonts w:cs="Arial"/>
          <w:b/>
          <w:sz w:val="20"/>
          <w:szCs w:val="20"/>
        </w:rPr>
        <w:t>26.2. Las trayectorias de los Quebrantahuesos pasa por donde se pretenden ubicar los parques eólicos:</w:t>
      </w:r>
    </w:p>
    <w:p>
      <w:pPr>
        <w:pStyle w:val="Normal"/>
        <w:spacing w:lineRule="auto" w:line="240" w:before="0" w:after="0"/>
        <w:jc w:val="center"/>
        <w:rPr>
          <w:rFonts w:cs="Arial"/>
          <w:b/>
          <w:b/>
          <w:sz w:val="20"/>
          <w:szCs w:val="20"/>
        </w:rPr>
      </w:pPr>
      <w:r>
        <w:rPr/>
        <w:drawing>
          <wp:inline distT="0" distB="0" distL="0" distR="0">
            <wp:extent cx="4448175" cy="3390265"/>
            <wp:effectExtent l="0" t="0" r="0" b="0"/>
            <wp:docPr id="13" name="Imagen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0" descr=""/>
                    <pic:cNvPicPr>
                      <a:picLocks noChangeAspect="1" noChangeArrowheads="1"/>
                    </pic:cNvPicPr>
                  </pic:nvPicPr>
                  <pic:blipFill>
                    <a:blip r:embed="rId32"/>
                    <a:stretch>
                      <a:fillRect/>
                    </a:stretch>
                  </pic:blipFill>
                  <pic:spPr bwMode="auto">
                    <a:xfrm>
                      <a:off x="0" y="0"/>
                      <a:ext cx="4448175" cy="3390265"/>
                    </a:xfrm>
                    <a:prstGeom prst="rect">
                      <a:avLst/>
                    </a:prstGeom>
                  </pic:spPr>
                </pic:pic>
              </a:graphicData>
            </a:graphic>
          </wp:inline>
        </w:drawing>
      </w:r>
    </w:p>
    <w:p>
      <w:pPr>
        <w:pStyle w:val="Normal"/>
        <w:spacing w:lineRule="auto" w:line="240" w:before="0" w:after="0"/>
        <w:jc w:val="both"/>
        <w:rPr>
          <w:rFonts w:cs="Arial"/>
          <w:b/>
          <w:b/>
          <w:sz w:val="20"/>
          <w:szCs w:val="20"/>
        </w:rPr>
      </w:pPr>
      <w:r>
        <w:rPr>
          <w:rFonts w:cs="Arial"/>
          <w:b/>
          <w:sz w:val="20"/>
          <w:szCs w:val="20"/>
        </w:rPr>
        <w:t>26.3.  El Quebrantahuesos, en el Catálogo Español de Especies Amenazadas, tiene la categoría de EN PELIGRO DE EXTINCIÓN</w:t>
      </w:r>
    </w:p>
    <w:p>
      <w:pPr>
        <w:pStyle w:val="Normal"/>
        <w:spacing w:lineRule="auto" w:line="240" w:before="0" w:after="0"/>
        <w:jc w:val="both"/>
        <w:rPr>
          <w:rFonts w:cs="Arial"/>
          <w:b/>
          <w:b/>
          <w:sz w:val="20"/>
          <w:szCs w:val="20"/>
        </w:rPr>
      </w:pPr>
      <w:r>
        <w:rPr>
          <w:rFonts w:cs="Arial"/>
          <w:b/>
          <w:sz w:val="20"/>
          <w:szCs w:val="20"/>
        </w:rPr>
      </w:r>
    </w:p>
    <w:p>
      <w:pPr>
        <w:pStyle w:val="Normal"/>
        <w:spacing w:lineRule="auto" w:line="240" w:before="0" w:after="0"/>
        <w:jc w:val="both"/>
        <w:rPr>
          <w:rFonts w:cs="Arial"/>
          <w:b/>
          <w:b/>
          <w:sz w:val="20"/>
          <w:szCs w:val="20"/>
        </w:rPr>
      </w:pPr>
      <w:r>
        <w:rPr>
          <w:rFonts w:cs="Arial"/>
          <w:b/>
          <w:sz w:val="20"/>
          <w:szCs w:val="20"/>
        </w:rPr>
        <w:t>26.4. En el estudio de impacto el promotor indicaba que el riesgo de colisión con la línea eléctrica era Alto y el de electrocución, también alto:</w:t>
      </w:r>
    </w:p>
    <w:p>
      <w:pPr>
        <w:pStyle w:val="Normal"/>
        <w:spacing w:lineRule="auto" w:line="240" w:before="0" w:after="0"/>
        <w:jc w:val="both"/>
        <w:rPr>
          <w:rFonts w:cs="Arial"/>
          <w:b/>
          <w:b/>
          <w:sz w:val="20"/>
          <w:szCs w:val="20"/>
        </w:rPr>
      </w:pPr>
      <w:r>
        <w:rPr/>
        <w:drawing>
          <wp:inline distT="0" distB="0" distL="0" distR="0">
            <wp:extent cx="5831840" cy="815975"/>
            <wp:effectExtent l="0" t="0" r="0" b="0"/>
            <wp:docPr id="14" name="Imagen 15" descr="E:\...0.2023.01.Fiscalía\Quebrantahuesos Riesgo al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5" descr="E:\...0.2023.01.Fiscalía\Quebrantahuesos Riesgo alto.JPG"/>
                    <pic:cNvPicPr>
                      <a:picLocks noChangeAspect="1" noChangeArrowheads="1"/>
                    </pic:cNvPicPr>
                  </pic:nvPicPr>
                  <pic:blipFill>
                    <a:blip r:embed="rId33"/>
                    <a:stretch>
                      <a:fillRect/>
                    </a:stretch>
                  </pic:blipFill>
                  <pic:spPr bwMode="auto">
                    <a:xfrm>
                      <a:off x="0" y="0"/>
                      <a:ext cx="5831840" cy="815975"/>
                    </a:xfrm>
                    <a:prstGeom prst="rect">
                      <a:avLst/>
                    </a:prstGeom>
                  </pic:spPr>
                </pic:pic>
              </a:graphicData>
            </a:graphic>
          </wp:inline>
        </w:drawing>
      </w:r>
    </w:p>
    <w:p>
      <w:pPr>
        <w:pStyle w:val="Normal"/>
        <w:spacing w:lineRule="auto" w:line="240" w:before="0" w:after="0"/>
        <w:jc w:val="both"/>
        <w:rPr>
          <w:rFonts w:cs="Arial"/>
          <w:b/>
          <w:b/>
          <w:sz w:val="20"/>
          <w:szCs w:val="20"/>
        </w:rPr>
      </w:pPr>
      <w:r>
        <w:rPr>
          <w:rFonts w:cs="Arial"/>
          <w:b/>
          <w:sz w:val="20"/>
          <w:szCs w:val="20"/>
        </w:rPr>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asciiTheme="minorHAnsi" w:hAnsiTheme="minorHAnsi"/>
          <w:b/>
          <w:sz w:val="20"/>
          <w:szCs w:val="20"/>
        </w:rPr>
        <w:t xml:space="preserve">26.5. La principal </w:t>
      </w:r>
      <w:r>
        <w:rPr>
          <w:rFonts w:cs="Arial" w:ascii="Calibri" w:hAnsi="Calibri" w:asciiTheme="minorHAnsi" w:hAnsiTheme="minorHAnsi"/>
          <w:b/>
          <w:sz w:val="20"/>
          <w:szCs w:val="20"/>
          <w:u w:val="single"/>
        </w:rPr>
        <w:t>causa de muerte</w:t>
      </w:r>
      <w:r>
        <w:rPr>
          <w:rFonts w:cs="Arial" w:ascii="Calibri" w:hAnsi="Calibri" w:asciiTheme="minorHAnsi" w:hAnsiTheme="minorHAnsi"/>
          <w:b/>
          <w:sz w:val="20"/>
          <w:szCs w:val="20"/>
        </w:rPr>
        <w:t xml:space="preserve"> del Quebrantahuesos y del Águila Azor Perdicera, después del envenenamiento es por </w:t>
      </w:r>
      <w:r>
        <w:rPr>
          <w:rFonts w:cs="Arial" w:ascii="Calibri" w:hAnsi="Calibri" w:asciiTheme="minorHAnsi" w:hAnsiTheme="minorHAnsi"/>
          <w:b/>
          <w:sz w:val="20"/>
          <w:szCs w:val="20"/>
          <w:u w:val="single"/>
        </w:rPr>
        <w:t>incidentes relacionados con las líneas eléctricas localizadas en zonas de montaña,</w:t>
      </w:r>
      <w:r>
        <w:rPr>
          <w:rFonts w:cs="Arial" w:ascii="Calibri" w:hAnsi="Calibri" w:asciiTheme="minorHAnsi" w:hAnsiTheme="minorHAnsi"/>
          <w:b/>
          <w:sz w:val="20"/>
          <w:szCs w:val="20"/>
        </w:rPr>
        <w:t xml:space="preserve"> próximas a collados o laderas de mediana y alta altitud por ser lugares de paso frecuente. La muerte se produce por colisión o electrocución.</w:t>
      </w:r>
    </w:p>
    <w:p>
      <w:pPr>
        <w:pStyle w:val="NormalWeb"/>
        <w:shd w:val="clear" w:color="auto" w:fill="FFFFFF"/>
        <w:spacing w:beforeAutospacing="0" w:before="0" w:afterAutospacing="0" w:after="0"/>
        <w:jc w:val="both"/>
        <w:rPr>
          <w:rFonts w:ascii="Calibri" w:hAnsi="Calibri" w:cs="Arial" w:asciiTheme="minorHAnsi" w:hAnsiTheme="minorHAnsi"/>
          <w:b/>
          <w:b/>
          <w:sz w:val="8"/>
          <w:szCs w:val="8"/>
        </w:rPr>
      </w:pPr>
      <w:r>
        <w:rPr>
          <w:rFonts w:cs="Arial" w:ascii="Calibri" w:hAnsi="Calibri"/>
          <w:b/>
          <w:sz w:val="8"/>
          <w:szCs w:val="8"/>
        </w:rPr>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asciiTheme="minorHAnsi" w:hAnsiTheme="minorHAnsi"/>
          <w:b/>
          <w:sz w:val="20"/>
          <w:szCs w:val="20"/>
        </w:rPr>
        <w:t xml:space="preserve">La supervivencia del quebrantahuesos y del Águila Azor Perdicera se ve igualmente amenazada por factores como la </w:t>
      </w:r>
      <w:r>
        <w:rPr>
          <w:rFonts w:cs="Arial" w:ascii="Calibri" w:hAnsi="Calibri" w:asciiTheme="minorHAnsi" w:hAnsiTheme="minorHAnsi"/>
          <w:b/>
          <w:sz w:val="20"/>
          <w:szCs w:val="20"/>
          <w:u w:val="single"/>
        </w:rPr>
        <w:t>transformación y pérdida de hábitat debida a la construcción de grandes infraestructuras en áreas de montaña</w:t>
      </w:r>
      <w:r>
        <w:rPr>
          <w:rFonts w:cs="Arial" w:ascii="Calibri" w:hAnsi="Calibri" w:asciiTheme="minorHAnsi" w:hAnsiTheme="minorHAnsi"/>
          <w:b/>
          <w:sz w:val="20"/>
          <w:szCs w:val="20"/>
        </w:rPr>
        <w:t>.</w:t>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b/>
          <w:sz w:val="20"/>
          <w:szCs w:val="20"/>
        </w:rPr>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asciiTheme="minorHAnsi" w:hAnsiTheme="minorHAnsi"/>
          <w:b/>
          <w:sz w:val="20"/>
          <w:szCs w:val="20"/>
        </w:rPr>
        <w:t>26.6. Respecto al Quebrantahuesos dice la DIA:</w:t>
      </w:r>
    </w:p>
    <w:p>
      <w:pPr>
        <w:pStyle w:val="NormalWeb"/>
        <w:shd w:val="clear" w:color="auto" w:fill="FFFFFF"/>
        <w:spacing w:beforeAutospacing="0" w:before="0" w:afterAutospacing="0" w:after="0"/>
        <w:jc w:val="both"/>
        <w:rPr>
          <w:rFonts w:ascii="Calibri" w:hAnsi="Calibri" w:cs="Arial" w:asciiTheme="minorHAnsi" w:hAnsiTheme="minorHAnsi"/>
          <w:b/>
          <w:b/>
          <w:sz w:val="8"/>
          <w:szCs w:val="8"/>
        </w:rPr>
      </w:pPr>
      <w:r>
        <w:rPr>
          <w:rFonts w:cs="Arial" w:ascii="Calibri" w:hAnsi="Calibri"/>
          <w:b/>
          <w:sz w:val="8"/>
          <w:szCs w:val="8"/>
        </w:rPr>
      </w:r>
    </w:p>
    <w:p>
      <w:pPr>
        <w:pStyle w:val="Normal"/>
        <w:spacing w:lineRule="auto" w:line="240" w:before="0" w:after="0"/>
        <w:ind w:left="708" w:hanging="0"/>
        <w:jc w:val="both"/>
        <w:rPr>
          <w:rFonts w:cs="Arimo"/>
          <w:b/>
          <w:b/>
          <w:i/>
          <w:i/>
          <w:sz w:val="20"/>
          <w:szCs w:val="20"/>
        </w:rPr>
      </w:pPr>
      <w:r>
        <w:rPr>
          <w:rFonts w:cs="Arimo"/>
          <w:b/>
          <w:i/>
          <w:sz w:val="20"/>
          <w:szCs w:val="20"/>
        </w:rPr>
        <w:t>“</w:t>
      </w:r>
      <w:r>
        <w:rPr>
          <w:rFonts w:cs="Arimo"/>
          <w:b/>
          <w:i/>
          <w:sz w:val="20"/>
          <w:szCs w:val="20"/>
        </w:rPr>
        <w:t>La Dirección General de Medio Natural y Gestión Forestal del Gobierno de Aragón informa que el proyecto podría tener un impacto sinérgico, al sumarse al de los parques ya existentes en el Maestrazgo de Castellón. En cuanto al quebrantahuesos, la actuación podría afectar a los objetivos de conservación de su Plan de Recuperación, ya que las áreas de actividad identificadas se sitúan en el entorno del Clúster eólico y la existencia de dos puntos de alimentación suplementaria, uno de ellos en el interior del Clúster”</w:t>
      </w:r>
    </w:p>
    <w:p>
      <w:pPr>
        <w:pStyle w:val="Normal"/>
        <w:spacing w:lineRule="auto" w:line="240" w:before="0" w:after="0"/>
        <w:ind w:left="708" w:hanging="0"/>
        <w:jc w:val="both"/>
        <w:rPr>
          <w:rFonts w:cs="Arimo"/>
          <w:b/>
          <w:b/>
          <w:i/>
          <w:i/>
          <w:sz w:val="20"/>
          <w:szCs w:val="20"/>
        </w:rPr>
      </w:pPr>
      <w:r>
        <w:rPr>
          <w:rFonts w:cs="Arimo"/>
          <w:b/>
          <w:i/>
          <w:sz w:val="20"/>
          <w:szCs w:val="20"/>
        </w:rPr>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asciiTheme="minorHAnsi" w:hAnsiTheme="minorHAnsi"/>
          <w:b/>
          <w:sz w:val="20"/>
          <w:szCs w:val="20"/>
        </w:rPr>
        <w:t>26.7. Respecto al Quebrantahuesos dice el estudio de impacto:</w:t>
      </w:r>
    </w:p>
    <w:p>
      <w:pPr>
        <w:pStyle w:val="NormalWeb"/>
        <w:shd w:val="clear" w:color="auto" w:fill="FFFFFF"/>
        <w:spacing w:beforeAutospacing="0" w:before="0" w:afterAutospacing="0" w:after="0"/>
        <w:jc w:val="both"/>
        <w:rPr>
          <w:rFonts w:ascii="Calibri" w:hAnsi="Calibri" w:cs="Arial" w:asciiTheme="minorHAnsi" w:hAnsiTheme="minorHAnsi"/>
          <w:b/>
          <w:b/>
          <w:sz w:val="8"/>
          <w:szCs w:val="8"/>
        </w:rPr>
      </w:pPr>
      <w:r>
        <w:rPr>
          <w:rFonts w:cs="Arial" w:ascii="Calibri" w:hAnsi="Calibri"/>
          <w:b/>
          <w:sz w:val="8"/>
          <w:szCs w:val="8"/>
        </w:rPr>
      </w:r>
    </w:p>
    <w:p>
      <w:pPr>
        <w:pStyle w:val="Normal"/>
        <w:spacing w:lineRule="auto" w:line="240" w:before="0" w:after="0"/>
        <w:ind w:left="708" w:hanging="0"/>
        <w:rPr>
          <w:rFonts w:cs="Tahoma"/>
          <w:b/>
          <w:b/>
          <w:i/>
          <w:i/>
          <w:sz w:val="20"/>
          <w:szCs w:val="20"/>
        </w:rPr>
      </w:pPr>
      <w:r>
        <w:rPr>
          <w:rFonts w:cs="Tahoma"/>
          <w:b/>
          <w:i/>
          <w:sz w:val="20"/>
          <w:szCs w:val="20"/>
        </w:rPr>
        <w:t>“</w:t>
      </w:r>
      <w:r>
        <w:rPr>
          <w:rFonts w:cs="Tahoma"/>
          <w:b/>
          <w:i/>
          <w:sz w:val="20"/>
          <w:szCs w:val="20"/>
        </w:rPr>
        <w:t>Respecto de las líneas eléctricas, la bibliografía consultada pone de manifiesto que las colisiones con tendidos eléctricos es una de las causas más importante de muertes de quebrantahuesos en España en la segunda mitad del siglo XX”.</w:t>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b/>
          <w:sz w:val="20"/>
          <w:szCs w:val="20"/>
        </w:rPr>
      </w:r>
    </w:p>
    <w:p>
      <w:pPr>
        <w:pStyle w:val="Default"/>
        <w:rPr>
          <w:rFonts w:ascii="Calibri" w:hAnsi="Calibri" w:asciiTheme="minorHAnsi" w:hAnsiTheme="minorHAnsi"/>
          <w:b/>
          <w:b/>
          <w:color w:val="auto"/>
          <w:sz w:val="20"/>
          <w:szCs w:val="20"/>
        </w:rPr>
      </w:pPr>
      <w:r>
        <w:rPr>
          <w:rFonts w:ascii="Calibri" w:hAnsi="Calibri" w:asciiTheme="minorHAnsi" w:hAnsiTheme="minorHAnsi"/>
          <w:b/>
          <w:color w:val="auto"/>
          <w:sz w:val="20"/>
          <w:szCs w:val="20"/>
        </w:rPr>
        <w:t>26.8. Dice el Estudio de avifauna del EsIA:</w:t>
      </w:r>
    </w:p>
    <w:p>
      <w:pPr>
        <w:pStyle w:val="Default"/>
        <w:rPr>
          <w:rFonts w:ascii="Calibri" w:hAnsi="Calibri" w:asciiTheme="minorHAnsi" w:hAnsiTheme="minorHAnsi"/>
          <w:b/>
          <w:b/>
          <w:color w:val="auto"/>
          <w:sz w:val="8"/>
          <w:szCs w:val="8"/>
        </w:rPr>
      </w:pPr>
      <w:r>
        <w:rPr>
          <w:rFonts w:asciiTheme="minorHAnsi" w:hAnsiTheme="minorHAnsi" w:ascii="Calibri" w:hAnsi="Calibri"/>
          <w:b/>
          <w:color w:val="auto"/>
          <w:sz w:val="8"/>
          <w:szCs w:val="8"/>
        </w:rPr>
      </w:r>
    </w:p>
    <w:p>
      <w:pPr>
        <w:pStyle w:val="Default"/>
        <w:ind w:left="708" w:hanging="0"/>
        <w:jc w:val="both"/>
        <w:rPr>
          <w:rFonts w:ascii="Calibri" w:hAnsi="Calibri" w:cs="Calibri"/>
          <w:color w:val="auto"/>
          <w:szCs w:val="22"/>
        </w:rPr>
      </w:pPr>
      <w:r>
        <w:rPr>
          <w:rFonts w:cs="Calibri" w:ascii="Calibri" w:hAnsi="Calibri"/>
          <w:b/>
          <w:i/>
          <w:color w:val="auto"/>
          <w:sz w:val="20"/>
          <w:szCs w:val="20"/>
        </w:rPr>
        <w:t>“</w:t>
      </w:r>
      <w:r>
        <w:rPr>
          <w:rFonts w:cs="Calibri" w:ascii="Calibri" w:hAnsi="Calibri"/>
          <w:b/>
          <w:i/>
          <w:color w:val="auto"/>
          <w:sz w:val="20"/>
          <w:szCs w:val="20"/>
        </w:rPr>
        <w:t xml:space="preserve">Algunos ejemplares de </w:t>
      </w:r>
      <w:r>
        <w:rPr>
          <w:rFonts w:cs="Calibri" w:ascii="Calibri" w:hAnsi="Calibri"/>
          <w:b/>
          <w:bCs/>
          <w:i/>
          <w:color w:val="auto"/>
          <w:sz w:val="20"/>
          <w:szCs w:val="20"/>
        </w:rPr>
        <w:t xml:space="preserve">quebrantahuesos </w:t>
      </w:r>
      <w:r>
        <w:rPr>
          <w:rFonts w:cs="Calibri" w:ascii="Calibri" w:hAnsi="Calibri"/>
          <w:b/>
          <w:i/>
          <w:color w:val="auto"/>
          <w:sz w:val="20"/>
          <w:szCs w:val="20"/>
        </w:rPr>
        <w:t>(</w:t>
      </w:r>
      <w:r>
        <w:rPr>
          <w:rFonts w:cs="Calibri" w:ascii="Calibri" w:hAnsi="Calibri"/>
          <w:b/>
          <w:i/>
          <w:iCs/>
          <w:color w:val="auto"/>
          <w:sz w:val="20"/>
          <w:szCs w:val="20"/>
        </w:rPr>
        <w:t>Gypaetus barbatus</w:t>
      </w:r>
      <w:r>
        <w:rPr>
          <w:rFonts w:cs="Calibri" w:ascii="Calibri" w:hAnsi="Calibri"/>
          <w:b/>
          <w:i/>
          <w:color w:val="auto"/>
          <w:sz w:val="20"/>
          <w:szCs w:val="20"/>
        </w:rPr>
        <w:t xml:space="preserve">) -liberados en el marco del Proyecto de reintroducción del quebrantahuesos en el Parque Natural de la Tinença de Benifassà- hacen un uso ocasional del área de estudio, probablemente vinculado a desplazamientos en busca de alimento. Aunque su presencia en las poligonales de los parques estudiados es escasa existe un riesgo de colisión que a medio y a largo plazo podría comprometer el pretendido establecimiento de ejemplares y unidades reproductoras de esta especie en la zona. Los quebrantahuesos liberados utilizan principalmente las zonas de relieve más complejo dentro de la ZEPA ES0000306-Río Guadalope Maestrazgo, y ocasionalmente se observan pequeñas concentraciones de localizaciones cerca de puntos de alimentación no controlados al Suroeste de Vacada 6  y en un muladar no controlado en </w:t>
      </w:r>
      <w:r>
        <w:rPr>
          <w:rFonts w:cs="Calibri" w:ascii="Calibri" w:hAnsi="Calibri"/>
          <w:b/>
          <w:bCs/>
          <w:i/>
          <w:color w:val="auto"/>
          <w:sz w:val="20"/>
          <w:szCs w:val="20"/>
        </w:rPr>
        <w:t>Concejo 1</w:t>
      </w:r>
      <w:r>
        <w:rPr>
          <w:rFonts w:cs="Calibri" w:ascii="Calibri" w:hAnsi="Calibri"/>
          <w:b/>
          <w:i/>
          <w:color w:val="auto"/>
          <w:sz w:val="20"/>
          <w:szCs w:val="20"/>
        </w:rPr>
        <w:t xml:space="preserve">  y cerca de un muladar no controlado en </w:t>
      </w:r>
      <w:r>
        <w:rPr>
          <w:rFonts w:cs="Calibri" w:ascii="Calibri" w:hAnsi="Calibri"/>
          <w:b/>
          <w:bCs/>
          <w:i/>
          <w:color w:val="auto"/>
          <w:sz w:val="20"/>
          <w:szCs w:val="20"/>
        </w:rPr>
        <w:t>Estrella 2”</w:t>
      </w:r>
      <w:r>
        <w:rPr>
          <w:rFonts w:cs="Calibri" w:ascii="Calibri" w:hAnsi="Calibri"/>
          <w:b/>
          <w:i/>
          <w:color w:val="auto"/>
          <w:sz w:val="20"/>
          <w:szCs w:val="20"/>
        </w:rPr>
        <w:t>.</w:t>
      </w:r>
      <w:r>
        <w:rPr>
          <w:rFonts w:cs="Calibri" w:ascii="Calibri" w:hAnsi="Calibri"/>
          <w:color w:val="auto"/>
          <w:szCs w:val="22"/>
        </w:rPr>
        <w:t xml:space="preserve"> </w:t>
      </w:r>
    </w:p>
    <w:p>
      <w:pPr>
        <w:pStyle w:val="NormalWeb"/>
        <w:shd w:val="clear" w:color="auto" w:fill="FFFFFF"/>
        <w:spacing w:beforeAutospacing="0" w:before="0" w:afterAutospacing="0" w:after="0"/>
        <w:ind w:left="708" w:hanging="0"/>
        <w:jc w:val="both"/>
        <w:rPr>
          <w:rFonts w:ascii="Calibri" w:hAnsi="Calibri" w:cs="Arial" w:asciiTheme="minorHAnsi" w:hAnsiTheme="minorHAnsi"/>
          <w:b/>
          <w:b/>
          <w:i/>
          <w:i/>
          <w:sz w:val="20"/>
          <w:szCs w:val="20"/>
        </w:rPr>
      </w:pPr>
      <w:r>
        <w:rPr>
          <w:rFonts w:cs="Arial" w:ascii="Calibri" w:hAnsi="Calibri"/>
          <w:b/>
          <w:i/>
          <w:sz w:val="20"/>
          <w:szCs w:val="20"/>
        </w:rPr>
      </w:r>
    </w:p>
    <w:p>
      <w:pPr>
        <w:pStyle w:val="Normal"/>
        <w:spacing w:lineRule="auto" w:line="240" w:before="0" w:after="0"/>
        <w:jc w:val="both"/>
        <w:rPr>
          <w:rFonts w:cs="Arimo"/>
          <w:b/>
          <w:b/>
          <w:sz w:val="20"/>
          <w:szCs w:val="20"/>
        </w:rPr>
      </w:pPr>
      <w:r>
        <w:rPr>
          <w:rStyle w:val="Markedcontent"/>
          <w:rFonts w:cs="Arial"/>
          <w:b/>
          <w:sz w:val="20"/>
          <w:szCs w:val="20"/>
        </w:rPr>
        <w:t xml:space="preserve">26.9. </w:t>
      </w:r>
      <w:r>
        <w:rPr>
          <w:rFonts w:cs="Arimo"/>
          <w:b/>
          <w:sz w:val="20"/>
          <w:szCs w:val="20"/>
        </w:rPr>
        <w:t>Dice el Estudio de avifauna del EsIA:</w:t>
      </w:r>
    </w:p>
    <w:p>
      <w:pPr>
        <w:pStyle w:val="Normal"/>
        <w:spacing w:lineRule="auto" w:line="240" w:before="0" w:after="0"/>
        <w:jc w:val="both"/>
        <w:rPr>
          <w:rFonts w:cs="Arimo"/>
          <w:b/>
          <w:b/>
          <w:sz w:val="8"/>
          <w:szCs w:val="8"/>
        </w:rPr>
      </w:pPr>
      <w:r>
        <w:rPr>
          <w:rFonts w:cs="Arimo"/>
          <w:b/>
          <w:sz w:val="8"/>
          <w:szCs w:val="8"/>
        </w:rPr>
      </w:r>
    </w:p>
    <w:p>
      <w:pPr>
        <w:pStyle w:val="Normal"/>
        <w:spacing w:lineRule="auto" w:line="240" w:before="0" w:after="0"/>
        <w:ind w:left="708" w:hanging="0"/>
        <w:jc w:val="both"/>
        <w:rPr>
          <w:rFonts w:cs="Arimo"/>
          <w:b/>
          <w:b/>
          <w:i/>
          <w:i/>
          <w:sz w:val="20"/>
          <w:szCs w:val="20"/>
        </w:rPr>
      </w:pPr>
      <w:r>
        <w:rPr>
          <w:b/>
          <w:i/>
          <w:sz w:val="20"/>
          <w:szCs w:val="20"/>
        </w:rPr>
        <w:t>“</w:t>
      </w:r>
      <w:r>
        <w:rPr>
          <w:b/>
          <w:i/>
          <w:sz w:val="20"/>
          <w:szCs w:val="20"/>
        </w:rPr>
        <w:t>Cabe destacar que, en el caso del Quebrantahuesos (</w:t>
      </w:r>
      <w:r>
        <w:rPr>
          <w:b/>
          <w:i/>
          <w:iCs/>
          <w:sz w:val="20"/>
          <w:szCs w:val="20"/>
        </w:rPr>
        <w:t>Gypaetus barbatus</w:t>
      </w:r>
      <w:r>
        <w:rPr>
          <w:b/>
          <w:i/>
          <w:sz w:val="20"/>
          <w:szCs w:val="20"/>
        </w:rPr>
        <w:t>) los contenidos de los informes analizan la situación existente entre julio de 2018 y julio de 2019, periodo en el que podían estar presente un máximo de 4 ejemplares, procedentes de las sueltas ligadas al proyecto de de reintroducción del quebrantahuesos en la Tinença de Benifassà (Castellón) en el que colabora el Gobierno de Aragón y para el que se habilitaron dos espacios para distribución regular de recursos alimenticios para la especie y dotados de valla electrificada y cámaras. Al tratarse de un proyecto activo, es muy posible que en muy breve lapso de tiempo, se incorporen nuevos ejemplares a las sueltas iniciales, por lo que deberá preverse un futurible incremento de los efectivos poblacionales en la zona y adaptar la toma de decisiones sobre las actuaciones objeto de este informe a la situación presente en el momento de su posible puesta en marcha”.</w:t>
      </w:r>
    </w:p>
    <w:p>
      <w:pPr>
        <w:pStyle w:val="NormalWeb"/>
        <w:shd w:val="clear" w:color="auto" w:fill="FFFFFF"/>
        <w:spacing w:beforeAutospacing="0" w:before="0" w:afterAutospacing="0" w:after="0"/>
        <w:jc w:val="both"/>
        <w:rPr>
          <w:rFonts w:ascii="Calibri" w:hAnsi="Calibri" w:cs="Arial" w:asciiTheme="minorHAnsi" w:hAnsiTheme="minorHAnsi"/>
          <w:b/>
          <w:b/>
          <w:i/>
          <w:i/>
          <w:sz w:val="20"/>
          <w:szCs w:val="20"/>
        </w:rPr>
      </w:pPr>
      <w:r>
        <w:rPr>
          <w:rFonts w:cs="Arial" w:ascii="Calibri" w:hAnsi="Calibri"/>
          <w:b/>
          <w:i/>
          <w:sz w:val="20"/>
          <w:szCs w:val="20"/>
        </w:rPr>
      </w:r>
    </w:p>
    <w:p>
      <w:pPr>
        <w:pStyle w:val="Normal"/>
        <w:spacing w:lineRule="auto" w:line="240" w:before="0" w:after="0"/>
        <w:jc w:val="both"/>
        <w:rPr>
          <w:rStyle w:val="Markedcontent"/>
          <w:rFonts w:cs="Arial"/>
          <w:b/>
          <w:b/>
          <w:sz w:val="20"/>
          <w:szCs w:val="20"/>
        </w:rPr>
      </w:pPr>
      <w:r>
        <w:rPr>
          <w:rStyle w:val="Markedcontent"/>
          <w:rFonts w:cs="Arial"/>
          <w:b/>
          <w:sz w:val="20"/>
          <w:szCs w:val="20"/>
        </w:rPr>
        <w:t>26.10. El Informe de la Dirección General de Medio Natural y Gestión Forestal elaborado el 9 de abril de 2021, al ser consultada sobre la Autorización Administrativa previa de los parques eólicos del Clúster Maestrazgo señala:</w:t>
      </w:r>
    </w:p>
    <w:p>
      <w:pPr>
        <w:pStyle w:val="Normal"/>
        <w:spacing w:lineRule="auto" w:line="240" w:before="0" w:after="0"/>
        <w:jc w:val="both"/>
        <w:rPr>
          <w:rStyle w:val="Markedcontent"/>
          <w:rFonts w:cs="Arial"/>
          <w:b/>
          <w:b/>
          <w:sz w:val="8"/>
          <w:szCs w:val="8"/>
        </w:rPr>
      </w:pPr>
      <w:r>
        <w:rPr>
          <w:rFonts w:cs="Arial"/>
          <w:b/>
          <w:sz w:val="8"/>
          <w:szCs w:val="8"/>
        </w:rPr>
      </w:r>
    </w:p>
    <w:p>
      <w:pPr>
        <w:pStyle w:val="Normal"/>
        <w:spacing w:lineRule="auto" w:line="240" w:before="0" w:after="0"/>
        <w:ind w:left="708" w:hanging="0"/>
        <w:jc w:val="both"/>
        <w:rPr>
          <w:rFonts w:eastAsia="Times New Roman"/>
          <w:b/>
          <w:b/>
          <w:i/>
          <w:i/>
          <w:sz w:val="20"/>
          <w:szCs w:val="20"/>
        </w:rPr>
      </w:pPr>
      <w:r>
        <w:rPr>
          <w:rFonts w:eastAsia="Times New Roman"/>
          <w:b/>
          <w:i/>
          <w:sz w:val="20"/>
          <w:szCs w:val="20"/>
        </w:rPr>
        <w:t>“</w:t>
      </w:r>
      <w:r>
        <w:rPr>
          <w:rFonts w:eastAsia="Times New Roman"/>
          <w:b/>
          <w:i/>
          <w:sz w:val="20"/>
          <w:szCs w:val="20"/>
        </w:rPr>
        <w:t>El propio EsIA destaca, entre otras, la presencia en la zona afectada por el Clúster de especies como de águila calzada (Aquila pennata), culebrera europea (Circaetus gallicus), alimoche común (Neophron percnopterus), y buitre leonado (Gyps fulvus). A ello se suma la cada vez más frecuente presencia de quebrantahuesos (Gypaetus barbatus), no detectado en el EsIA pero de presencia comprobada en base a los datos de radiomarcaje de ejemplares.</w:t>
      </w:r>
    </w:p>
    <w:p>
      <w:pPr>
        <w:pStyle w:val="Normal"/>
        <w:spacing w:lineRule="auto" w:line="240" w:before="0" w:after="0"/>
        <w:ind w:left="708" w:hanging="0"/>
        <w:jc w:val="both"/>
        <w:rPr>
          <w:rFonts w:eastAsia="Times New Roman"/>
          <w:b/>
          <w:b/>
          <w:i/>
          <w:i/>
          <w:sz w:val="8"/>
          <w:szCs w:val="8"/>
        </w:rPr>
      </w:pPr>
      <w:r>
        <w:rPr>
          <w:rFonts w:eastAsia="Times New Roman"/>
          <w:b/>
          <w:i/>
          <w:sz w:val="8"/>
          <w:szCs w:val="8"/>
        </w:rPr>
      </w:r>
    </w:p>
    <w:p>
      <w:pPr>
        <w:pStyle w:val="Normal"/>
        <w:spacing w:lineRule="auto" w:line="240" w:before="0" w:after="0"/>
        <w:ind w:left="708" w:hanging="0"/>
        <w:jc w:val="both"/>
        <w:rPr>
          <w:rFonts w:eastAsia="Times New Roman"/>
          <w:b/>
          <w:b/>
          <w:i/>
          <w:i/>
          <w:sz w:val="20"/>
          <w:szCs w:val="20"/>
        </w:rPr>
      </w:pPr>
      <w:r>
        <w:rPr>
          <w:rFonts w:eastAsia="Times New Roman"/>
          <w:b/>
          <w:i/>
          <w:sz w:val="20"/>
          <w:szCs w:val="20"/>
        </w:rPr>
        <w:t>Algunas de estas especies mantienen puntos de nidificación dentro o muy cerca de los recintos ocupados por las infraestructuras. La presencia de estas especies como reproductoras en el entorno inmediato supone al menos un riesgo cierto de desaparición de la población reproductora en los lugares afectados, pero también de alta probabilidad de mortalidad directa de ejemplares en el caso de que estas parejas se mantuviesen en las inmediaciones después de ser desplazadas por la construcción de las infraestructuras.</w:t>
      </w:r>
    </w:p>
    <w:p>
      <w:pPr>
        <w:pStyle w:val="Normal"/>
        <w:spacing w:lineRule="auto" w:line="240" w:before="0" w:after="0"/>
        <w:ind w:left="708" w:hanging="0"/>
        <w:jc w:val="both"/>
        <w:rPr>
          <w:rFonts w:eastAsia="Times New Roman"/>
          <w:b/>
          <w:b/>
          <w:i/>
          <w:i/>
          <w:sz w:val="8"/>
          <w:szCs w:val="8"/>
        </w:rPr>
      </w:pPr>
      <w:r>
        <w:rPr>
          <w:rFonts w:eastAsia="Times New Roman"/>
          <w:b/>
          <w:i/>
          <w:sz w:val="8"/>
          <w:szCs w:val="8"/>
        </w:rPr>
      </w:r>
    </w:p>
    <w:p>
      <w:pPr>
        <w:pStyle w:val="Normal"/>
        <w:spacing w:lineRule="auto" w:line="240" w:before="0" w:after="0"/>
        <w:ind w:left="708" w:hanging="0"/>
        <w:jc w:val="both"/>
        <w:rPr>
          <w:rFonts w:eastAsia="Times New Roman"/>
          <w:b/>
          <w:b/>
          <w:i/>
          <w:i/>
          <w:sz w:val="20"/>
          <w:szCs w:val="20"/>
        </w:rPr>
      </w:pPr>
      <w:r>
        <w:rPr>
          <w:rFonts w:eastAsia="Times New Roman"/>
          <w:b/>
          <w:i/>
          <w:sz w:val="20"/>
          <w:szCs w:val="20"/>
        </w:rPr>
        <w:t>La implantación del Clúster eólico aumentará significativamente por tanto los potenciales riesgos de colisión y muerte de ejemplares, además de suponer una pérdida de áreas de alimentación y nidificación que constituyen parte del hábitat de estas especies”.</w:t>
      </w:r>
    </w:p>
    <w:p>
      <w:pPr>
        <w:pStyle w:val="NormalWeb"/>
        <w:shd w:val="clear" w:color="auto" w:fill="FFFFFF"/>
        <w:spacing w:beforeAutospacing="0" w:before="0" w:afterAutospacing="0" w:after="0"/>
        <w:jc w:val="both"/>
        <w:rPr>
          <w:rFonts w:ascii="Calibri" w:hAnsi="Calibri" w:cs="Arial" w:asciiTheme="minorHAnsi" w:hAnsiTheme="minorHAnsi"/>
          <w:b/>
          <w:b/>
          <w:sz w:val="8"/>
          <w:szCs w:val="8"/>
        </w:rPr>
      </w:pPr>
      <w:r>
        <w:rPr>
          <w:rFonts w:cs="Arial" w:ascii="Calibri" w:hAnsi="Calibri"/>
          <w:b/>
          <w:sz w:val="8"/>
          <w:szCs w:val="8"/>
        </w:rPr>
      </w:r>
    </w:p>
    <w:p>
      <w:pPr>
        <w:pStyle w:val="Normal"/>
        <w:spacing w:lineRule="auto" w:line="240" w:before="0" w:after="0"/>
        <w:rPr>
          <w:b/>
          <w:b/>
          <w:sz w:val="20"/>
          <w:szCs w:val="20"/>
        </w:rPr>
      </w:pPr>
      <w:hyperlink r:id="rId34">
        <w:r>
          <w:rPr>
            <w:rStyle w:val="EnlacedeInternet"/>
            <w:b/>
            <w:color w:val="auto"/>
            <w:sz w:val="20"/>
            <w:szCs w:val="20"/>
          </w:rPr>
          <w:t>https://drive.google.com/file/d/1Yd7w2she0zhmDKHRV-qRgv9WmuiG7s35/view</w:t>
        </w:r>
      </w:hyperlink>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b/>
          <w:sz w:val="20"/>
          <w:szCs w:val="20"/>
        </w:rPr>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asciiTheme="minorHAnsi" w:hAnsiTheme="minorHAnsi"/>
          <w:b/>
          <w:sz w:val="20"/>
          <w:szCs w:val="20"/>
        </w:rPr>
        <w:t>26.11. El Informe del INAGA de 29 de Junio de 2021 dice:</w:t>
      </w:r>
    </w:p>
    <w:p>
      <w:pPr>
        <w:pStyle w:val="NormalWeb"/>
        <w:shd w:val="clear" w:color="auto" w:fill="FFFFFF"/>
        <w:spacing w:beforeAutospacing="0" w:before="0" w:afterAutospacing="0" w:after="0"/>
        <w:jc w:val="both"/>
        <w:rPr>
          <w:rFonts w:ascii="Calibri" w:hAnsi="Calibri" w:cs="Arial" w:asciiTheme="minorHAnsi" w:hAnsiTheme="minorHAnsi"/>
          <w:b/>
          <w:b/>
          <w:sz w:val="8"/>
          <w:szCs w:val="8"/>
        </w:rPr>
      </w:pPr>
      <w:r>
        <w:rPr>
          <w:rFonts w:cs="Arial" w:ascii="Calibri" w:hAnsi="Calibri"/>
          <w:b/>
          <w:sz w:val="8"/>
          <w:szCs w:val="8"/>
        </w:rPr>
      </w:r>
    </w:p>
    <w:p>
      <w:pPr>
        <w:pStyle w:val="Normal"/>
        <w:spacing w:lineRule="auto" w:line="240" w:before="0" w:after="0"/>
        <w:ind w:left="708" w:hanging="0"/>
        <w:jc w:val="both"/>
        <w:rPr>
          <w:rFonts w:cs="Helvetica"/>
          <w:b/>
          <w:b/>
          <w:i/>
          <w:i/>
          <w:sz w:val="20"/>
          <w:szCs w:val="20"/>
        </w:rPr>
      </w:pPr>
      <w:r>
        <w:rPr>
          <w:rFonts w:cs="Helvetica"/>
          <w:b/>
          <w:i/>
          <w:sz w:val="20"/>
          <w:szCs w:val="20"/>
        </w:rPr>
        <w:t>“</w:t>
      </w:r>
      <w:r>
        <w:rPr>
          <w:rFonts w:cs="Helvetica"/>
          <w:b/>
          <w:i/>
          <w:sz w:val="20"/>
          <w:szCs w:val="20"/>
        </w:rPr>
        <w:t xml:space="preserve">Teniendo en cuenta la información disponible y la incluida en el Estudio de impacto ambiental en cuanto a puntos de nidificación, posaderos y dormideros detectados, así como la existencia de zonas ambientalmente sensibles existentes y prácticamente coincidentes (ZEPA "Río Guadalope-Maestrazgo" y ámbitos de los planes de recuperación del quebrantahuesos y del águila perdicera), se debe </w:t>
      </w:r>
      <w:r>
        <w:rPr>
          <w:rFonts w:cs="Helvetica"/>
          <w:b/>
          <w:i/>
          <w:sz w:val="20"/>
          <w:szCs w:val="20"/>
          <w:u w:val="single"/>
        </w:rPr>
        <w:t>prestar mayor atención a las potenciales afecciones por colisión en la fase de funcionamiento que podrán tener los aerogeneradores de los parques eólicos El Cid II, El Cid III, El Cid IV y El Cid V, así como Cabecero I,</w:t>
      </w:r>
      <w:r>
        <w:rPr>
          <w:rFonts w:cs="Helvetica"/>
          <w:b/>
          <w:i/>
          <w:sz w:val="20"/>
          <w:szCs w:val="20"/>
        </w:rPr>
        <w:t xml:space="preserve"> por la ubicación de algunos aerogeneradores a distancias inferiores a 2 km a las delimitaciones mencionadas. Los aerogeneradores que podrían ser más problemáticos potencialmente en este sentido son los más próximos a las citadas zonas ambientalmente sensibles”.</w:t>
      </w:r>
    </w:p>
    <w:p>
      <w:pPr>
        <w:pStyle w:val="Normal"/>
        <w:spacing w:lineRule="auto" w:line="240" w:before="0" w:after="0"/>
        <w:ind w:left="708" w:hanging="0"/>
        <w:jc w:val="both"/>
        <w:rPr>
          <w:rFonts w:cs="Helvetica"/>
          <w:b/>
          <w:b/>
          <w:sz w:val="20"/>
          <w:szCs w:val="20"/>
        </w:rPr>
      </w:pPr>
      <w:r>
        <w:rPr>
          <w:rFonts w:cs="Helvetica"/>
          <w:b/>
          <w:sz w:val="20"/>
          <w:szCs w:val="20"/>
        </w:rPr>
        <w:t>(Cabecero I y Cid V han sido excluidos)</w:t>
      </w:r>
    </w:p>
    <w:p>
      <w:pPr>
        <w:pStyle w:val="Normal"/>
        <w:spacing w:lineRule="auto" w:line="240" w:before="0" w:after="0"/>
        <w:jc w:val="both"/>
        <w:rPr>
          <w:rFonts w:cs="Helvetica"/>
          <w:b/>
          <w:b/>
          <w:sz w:val="8"/>
          <w:szCs w:val="8"/>
        </w:rPr>
      </w:pPr>
      <w:r>
        <w:rPr>
          <w:rFonts w:cs="Helvetica"/>
          <w:b/>
          <w:sz w:val="8"/>
          <w:szCs w:val="8"/>
        </w:rPr>
      </w:r>
    </w:p>
    <w:p>
      <w:pPr>
        <w:pStyle w:val="Normal"/>
        <w:spacing w:lineRule="auto" w:line="240" w:before="0" w:after="0"/>
        <w:rPr>
          <w:b/>
          <w:b/>
          <w:sz w:val="20"/>
          <w:szCs w:val="20"/>
        </w:rPr>
      </w:pPr>
      <w:hyperlink r:id="rId35">
        <w:r>
          <w:rPr>
            <w:rStyle w:val="EnlacedeInternet"/>
            <w:b/>
            <w:color w:val="auto"/>
            <w:sz w:val="20"/>
            <w:szCs w:val="20"/>
          </w:rPr>
          <w:t>https://drive.google.com/file/d/1Yd7w2she0zhmDKHRV-qRgv9WmuiG7s35/view?usp=share_link</w:t>
        </w:r>
      </w:hyperlink>
    </w:p>
    <w:p>
      <w:pPr>
        <w:pStyle w:val="Normal"/>
        <w:spacing w:lineRule="auto" w:line="240" w:before="0" w:after="0"/>
        <w:jc w:val="both"/>
        <w:rPr>
          <w:rFonts w:cs="Helvetica"/>
          <w:b/>
          <w:b/>
          <w:sz w:val="20"/>
          <w:szCs w:val="20"/>
        </w:rPr>
      </w:pPr>
      <w:r>
        <w:rPr>
          <w:rFonts w:cs="Helvetica"/>
          <w:b/>
          <w:sz w:val="20"/>
          <w:szCs w:val="20"/>
        </w:rPr>
      </w:r>
    </w:p>
    <w:p>
      <w:pPr>
        <w:pStyle w:val="Normal"/>
        <w:spacing w:lineRule="auto" w:line="240" w:before="0" w:after="0"/>
        <w:jc w:val="both"/>
        <w:rPr>
          <w:rFonts w:cs="Arial"/>
          <w:b/>
          <w:b/>
          <w:sz w:val="20"/>
          <w:szCs w:val="20"/>
        </w:rPr>
      </w:pPr>
      <w:r>
        <w:rPr>
          <w:rFonts w:cs="Helvetica"/>
          <w:b/>
          <w:sz w:val="20"/>
          <w:szCs w:val="20"/>
        </w:rPr>
        <w:t xml:space="preserve">26.12. El INAGA plantea que haya problemas con los desplazamientos del Quebrantahuesos. </w:t>
      </w:r>
      <w:r>
        <w:rPr>
          <w:rFonts w:cs="Arial"/>
          <w:b/>
          <w:sz w:val="20"/>
          <w:szCs w:val="20"/>
        </w:rPr>
        <w:t>El Informe del INAGA de 29 de Junio de 2021 dice:</w:t>
      </w:r>
    </w:p>
    <w:p>
      <w:pPr>
        <w:pStyle w:val="Normal"/>
        <w:spacing w:lineRule="auto" w:line="240" w:before="0" w:after="0"/>
        <w:jc w:val="both"/>
        <w:rPr>
          <w:rFonts w:cs="Helvetica"/>
          <w:b/>
          <w:b/>
          <w:sz w:val="8"/>
          <w:szCs w:val="8"/>
        </w:rPr>
      </w:pPr>
      <w:r>
        <w:rPr>
          <w:rFonts w:cs="Helvetica"/>
          <w:b/>
          <w:sz w:val="8"/>
          <w:szCs w:val="8"/>
        </w:rPr>
      </w:r>
    </w:p>
    <w:p>
      <w:pPr>
        <w:pStyle w:val="Normal"/>
        <w:spacing w:lineRule="auto" w:line="240" w:before="0" w:after="0"/>
        <w:ind w:left="708" w:hanging="0"/>
        <w:jc w:val="both"/>
        <w:rPr>
          <w:rFonts w:cs="Helvetica"/>
          <w:b/>
          <w:b/>
          <w:i/>
          <w:i/>
          <w:sz w:val="20"/>
          <w:szCs w:val="20"/>
        </w:rPr>
      </w:pPr>
      <w:r>
        <w:rPr>
          <w:rFonts w:cs="Helvetica"/>
          <w:b/>
          <w:i/>
          <w:sz w:val="20"/>
          <w:szCs w:val="20"/>
        </w:rPr>
        <w:t>“</w:t>
      </w:r>
      <w:r>
        <w:rPr>
          <w:rFonts w:cs="Helvetica"/>
          <w:b/>
          <w:i/>
          <w:sz w:val="20"/>
          <w:szCs w:val="20"/>
        </w:rPr>
        <w:t xml:space="preserve">En cuanto al Plan de recuperación del quebrantahuesos, su presencia en la zona está relacionada con el Proyecto de reintroducción del quebrantahuesos en el Parque Natural de la Tinença de Benifassà. Mediante el radio-marcaje de los juveniles criados en cautividad y de adultos, se ha constatado la existencia de rutas habituales de vuelo y desplazamiento entre el Este de la Península a través del Maestrazgo y Sierra de Gúdar hacia las Sierras del Moncayo e Ibérica Turolense. </w:t>
      </w:r>
      <w:r>
        <w:rPr>
          <w:rFonts w:cs="Helvetica"/>
          <w:b/>
          <w:i/>
          <w:sz w:val="20"/>
          <w:szCs w:val="20"/>
          <w:u w:val="single"/>
        </w:rPr>
        <w:t>La instalación de los parques eólicos de la zona más cercana a la ZEPA-Plan de recuperación es posible que pueda dificultar los desplazamientos en dichas rutas”.</w:t>
      </w:r>
    </w:p>
    <w:p>
      <w:pPr>
        <w:pStyle w:val="Normal"/>
        <w:spacing w:lineRule="auto" w:line="240" w:before="0" w:after="0"/>
        <w:rPr>
          <w:rFonts w:cs="Helvetica"/>
          <w:sz w:val="8"/>
          <w:szCs w:val="8"/>
        </w:rPr>
      </w:pPr>
      <w:r>
        <w:rPr>
          <w:rFonts w:cs="Helvetica"/>
          <w:sz w:val="8"/>
          <w:szCs w:val="8"/>
        </w:rPr>
      </w:r>
    </w:p>
    <w:p>
      <w:pPr>
        <w:pStyle w:val="Normal"/>
        <w:spacing w:lineRule="auto" w:line="240" w:before="0" w:after="0"/>
        <w:rPr>
          <w:b/>
          <w:b/>
          <w:sz w:val="20"/>
          <w:szCs w:val="20"/>
        </w:rPr>
      </w:pPr>
      <w:hyperlink r:id="rId36">
        <w:r>
          <w:rPr>
            <w:rStyle w:val="EnlacedeInternet"/>
            <w:b/>
            <w:color w:val="auto"/>
            <w:sz w:val="20"/>
            <w:szCs w:val="20"/>
          </w:rPr>
          <w:t>https://drive.google.com/file/d/1Yd7w2she0zhmDKHRV-qRgv9WmuiG7s35/view?usp=share_link</w:t>
        </w:r>
      </w:hyperlink>
    </w:p>
    <w:p>
      <w:pPr>
        <w:pStyle w:val="Normal"/>
        <w:spacing w:lineRule="auto" w:line="240" w:before="0" w:after="0"/>
        <w:rPr>
          <w:rFonts w:cs="Helvetica"/>
          <w:sz w:val="20"/>
          <w:szCs w:val="20"/>
        </w:rPr>
      </w:pPr>
      <w:r>
        <w:rPr>
          <w:rFonts w:cs="Helvetica"/>
          <w:sz w:val="20"/>
          <w:szCs w:val="20"/>
        </w:rPr>
      </w:r>
    </w:p>
    <w:p>
      <w:pPr>
        <w:pStyle w:val="Normal"/>
        <w:spacing w:lineRule="auto" w:line="240" w:before="0" w:after="0"/>
        <w:jc w:val="both"/>
        <w:rPr>
          <w:b/>
          <w:b/>
          <w:sz w:val="20"/>
          <w:szCs w:val="20"/>
        </w:rPr>
      </w:pPr>
      <w:r>
        <w:rPr>
          <w:b/>
          <w:sz w:val="20"/>
          <w:szCs w:val="20"/>
        </w:rPr>
        <w:t>26.13. En relación con el Águila Azor perdicera y el Quebrantahuesos, la Ley 42/2007, de 13 de diciembre, del Patrimonio Natural y de la Biodiversidad  define  estas situaciones así:</w:t>
      </w:r>
    </w:p>
    <w:p>
      <w:pPr>
        <w:pStyle w:val="Normal"/>
        <w:spacing w:lineRule="auto" w:line="240" w:before="0" w:after="0"/>
        <w:rPr>
          <w:b/>
          <w:b/>
          <w:sz w:val="8"/>
          <w:szCs w:val="8"/>
        </w:rPr>
      </w:pPr>
      <w:r>
        <w:rPr>
          <w:b/>
          <w:sz w:val="8"/>
          <w:szCs w:val="8"/>
        </w:rPr>
      </w:r>
    </w:p>
    <w:p>
      <w:pPr>
        <w:pStyle w:val="Normal"/>
        <w:shd w:val="clear" w:color="auto" w:fill="FFFFFF"/>
        <w:spacing w:lineRule="auto" w:line="240" w:before="0" w:after="0"/>
        <w:ind w:left="708" w:hanging="0"/>
        <w:jc w:val="both"/>
        <w:rPr>
          <w:rFonts w:eastAsia="Times New Roman" w:cs="Arial"/>
          <w:b/>
          <w:b/>
          <w:i/>
          <w:i/>
          <w:sz w:val="20"/>
          <w:szCs w:val="20"/>
          <w:lang w:eastAsia="es-ES"/>
        </w:rPr>
      </w:pPr>
      <w:r>
        <w:rPr>
          <w:rFonts w:eastAsia="Times New Roman" w:cs="Arial"/>
          <w:b/>
          <w:i/>
          <w:sz w:val="20"/>
          <w:szCs w:val="20"/>
          <w:u w:val="single"/>
          <w:lang w:eastAsia="es-ES"/>
        </w:rPr>
        <w:t>“</w:t>
      </w:r>
      <w:r>
        <w:rPr>
          <w:rFonts w:eastAsia="Times New Roman" w:cs="Arial"/>
          <w:b/>
          <w:i/>
          <w:sz w:val="20"/>
          <w:szCs w:val="20"/>
          <w:u w:val="single"/>
          <w:lang w:eastAsia="es-ES"/>
        </w:rPr>
        <w:t>-En peligro de extinción</w:t>
      </w:r>
      <w:r>
        <w:rPr>
          <w:rFonts w:eastAsia="Times New Roman" w:cs="Arial"/>
          <w:b/>
          <w:i/>
          <w:sz w:val="20"/>
          <w:szCs w:val="20"/>
          <w:lang w:eastAsia="es-ES"/>
        </w:rPr>
        <w:t>: taxones o poblaciones cuya supervivencia es poco probable si los factores causales de su actual situación siguen actuando.</w:t>
      </w:r>
    </w:p>
    <w:p>
      <w:pPr>
        <w:pStyle w:val="Normal"/>
        <w:shd w:val="clear" w:color="auto" w:fill="FFFFFF"/>
        <w:spacing w:lineRule="auto" w:line="240" w:before="0" w:after="0"/>
        <w:ind w:left="708" w:hanging="0"/>
        <w:jc w:val="both"/>
        <w:rPr>
          <w:rFonts w:eastAsia="Times New Roman" w:cs="Arial"/>
          <w:b/>
          <w:b/>
          <w:i/>
          <w:i/>
          <w:sz w:val="20"/>
          <w:szCs w:val="20"/>
          <w:lang w:eastAsia="es-ES"/>
        </w:rPr>
      </w:pPr>
      <w:r>
        <w:rPr>
          <w:rFonts w:eastAsia="Times New Roman" w:cs="Arial"/>
          <w:b/>
          <w:i/>
          <w:sz w:val="20"/>
          <w:szCs w:val="20"/>
          <w:u w:val="single"/>
          <w:lang w:eastAsia="es-ES"/>
        </w:rPr>
        <w:t>-Vulnerable</w:t>
      </w:r>
      <w:r>
        <w:rPr>
          <w:rFonts w:eastAsia="Times New Roman" w:cs="Arial"/>
          <w:b/>
          <w:i/>
          <w:sz w:val="20"/>
          <w:szCs w:val="20"/>
          <w:lang w:eastAsia="es-ES"/>
        </w:rPr>
        <w:t>: taxones o poblaciones que corren el riesgo de pasar a la categoría anterior en un futuro inmediato si los factores adversos que actúan sobre ellos no son corregidos”.</w:t>
      </w:r>
    </w:p>
    <w:p>
      <w:pPr>
        <w:pStyle w:val="Normal"/>
        <w:shd w:val="clear" w:color="auto" w:fill="FFFFFF"/>
        <w:spacing w:lineRule="auto" w:line="240" w:before="0" w:after="0"/>
        <w:ind w:left="708" w:hanging="0"/>
        <w:jc w:val="both"/>
        <w:rPr>
          <w:rFonts w:eastAsia="Times New Roman" w:cs="Arial"/>
          <w:b/>
          <w:b/>
          <w:i/>
          <w:i/>
          <w:sz w:val="20"/>
          <w:szCs w:val="20"/>
          <w:lang w:eastAsia="es-ES"/>
        </w:rPr>
      </w:pPr>
      <w:r>
        <w:rPr>
          <w:rFonts w:eastAsia="Times New Roman" w:cs="Arial"/>
          <w:b/>
          <w:i/>
          <w:sz w:val="20"/>
          <w:szCs w:val="20"/>
          <w:lang w:eastAsia="es-ES"/>
        </w:rPr>
      </w:r>
    </w:p>
    <w:p>
      <w:pPr>
        <w:pStyle w:val="Normal"/>
        <w:spacing w:lineRule="auto" w:line="240" w:before="0" w:after="0"/>
        <w:jc w:val="both"/>
        <w:rPr>
          <w:b/>
          <w:b/>
          <w:sz w:val="20"/>
          <w:szCs w:val="20"/>
        </w:rPr>
      </w:pPr>
      <w:r>
        <w:rPr>
          <w:b/>
          <w:sz w:val="20"/>
          <w:szCs w:val="20"/>
        </w:rPr>
        <w:t>El artículo 59 de La Ley 42/2007, de 13 de diciembre, del Patrimonio Natural y de la Biodiversidad  define  estas situaciones establece que:</w:t>
      </w:r>
    </w:p>
    <w:p>
      <w:pPr>
        <w:pStyle w:val="Normal"/>
        <w:spacing w:lineRule="auto" w:line="240" w:before="0" w:after="0"/>
        <w:jc w:val="both"/>
        <w:rPr>
          <w:b/>
          <w:b/>
          <w:sz w:val="8"/>
          <w:szCs w:val="8"/>
        </w:rPr>
      </w:pPr>
      <w:r>
        <w:rPr>
          <w:b/>
          <w:sz w:val="8"/>
          <w:szCs w:val="8"/>
        </w:rPr>
      </w:r>
    </w:p>
    <w:p>
      <w:pPr>
        <w:pStyle w:val="Normal"/>
        <w:spacing w:lineRule="auto" w:line="240" w:before="0" w:after="0"/>
        <w:ind w:left="708" w:hanging="0"/>
        <w:jc w:val="both"/>
        <w:rPr>
          <w:rFonts w:eastAsia="Times New Roman" w:cs="Arial"/>
          <w:b/>
          <w:b/>
          <w:i/>
          <w:i/>
          <w:sz w:val="20"/>
          <w:szCs w:val="20"/>
          <w:lang w:eastAsia="es-ES"/>
        </w:rPr>
      </w:pPr>
      <w:r>
        <w:rPr>
          <w:rFonts w:eastAsia="Times New Roman" w:cs="Arial"/>
          <w:b/>
          <w:bCs/>
          <w:i/>
          <w:sz w:val="20"/>
          <w:szCs w:val="20"/>
          <w:shd w:fill="FFFFFF" w:val="clear"/>
          <w:lang w:eastAsia="es-ES"/>
        </w:rPr>
        <w:t>“</w:t>
      </w:r>
      <w:r>
        <w:rPr>
          <w:rFonts w:eastAsia="Times New Roman" w:cs="Arial"/>
          <w:b/>
          <w:bCs/>
          <w:i/>
          <w:sz w:val="20"/>
          <w:szCs w:val="20"/>
          <w:shd w:fill="FFFFFF" w:val="clear"/>
          <w:lang w:eastAsia="es-ES"/>
        </w:rPr>
        <w:t>a) </w:t>
      </w:r>
      <w:r>
        <w:rPr>
          <w:rFonts w:eastAsia="Times New Roman" w:cs="Arial"/>
          <w:b/>
          <w:i/>
          <w:sz w:val="20"/>
          <w:szCs w:val="20"/>
          <w:shd w:fill="FFFFFF" w:val="clear"/>
          <w:lang w:eastAsia="es-ES"/>
        </w:rPr>
        <w:t xml:space="preserve">La inclusión de un taxón o población en la categoría de "en peligro de extinción" conllevará, en un plazo máximo de tres años, la adopción de un </w:t>
      </w:r>
      <w:r>
        <w:rPr>
          <w:rFonts w:eastAsia="Times New Roman" w:cs="Arial"/>
          <w:b/>
          <w:i/>
          <w:sz w:val="20"/>
          <w:szCs w:val="20"/>
          <w:u w:val="single"/>
          <w:shd w:fill="FFFFFF" w:val="clear"/>
          <w:lang w:eastAsia="es-ES"/>
        </w:rPr>
        <w:t>plan de recuperación</w:t>
      </w:r>
      <w:r>
        <w:rPr>
          <w:rFonts w:eastAsia="Times New Roman" w:cs="Arial"/>
          <w:b/>
          <w:i/>
          <w:sz w:val="20"/>
          <w:szCs w:val="20"/>
          <w:shd w:fill="FFFFFF" w:val="clear"/>
          <w:lang w:eastAsia="es-ES"/>
        </w:rPr>
        <w:t>, que incluya las medidas más adecuadas para el cumplimiento de los objetivos buscados, y, en su caso, la designación de áreas críticas.</w:t>
      </w:r>
    </w:p>
    <w:p>
      <w:pPr>
        <w:pStyle w:val="Normal"/>
        <w:shd w:val="clear" w:color="auto" w:fill="FFFFFF"/>
        <w:spacing w:lineRule="auto" w:line="240" w:before="0" w:after="0"/>
        <w:ind w:left="708" w:hanging="0"/>
        <w:jc w:val="both"/>
        <w:rPr>
          <w:rFonts w:eastAsia="Times New Roman" w:cs="Arial"/>
          <w:b/>
          <w:b/>
          <w:i/>
          <w:i/>
          <w:sz w:val="20"/>
          <w:szCs w:val="20"/>
          <w:u w:val="single"/>
          <w:lang w:eastAsia="es-ES"/>
        </w:rPr>
      </w:pPr>
      <w:r>
        <w:rPr>
          <w:rFonts w:eastAsia="Times New Roman" w:cs="Arial"/>
          <w:b/>
          <w:i/>
          <w:sz w:val="20"/>
          <w:szCs w:val="20"/>
          <w:lang w:eastAsia="es-ES"/>
        </w:rPr>
        <w:t xml:space="preserve">En las áreas críticas, y en las áreas de potencial reintroducción o expansión de estos taxones o poblaciones definidas como tales en los planes de recuperación, se fijarán medidas de conservación e instrumentos de gestión, específicos para estas áreas o integrados en otros planes, </w:t>
      </w:r>
      <w:r>
        <w:rPr>
          <w:rFonts w:eastAsia="Times New Roman" w:cs="Arial"/>
          <w:b/>
          <w:i/>
          <w:sz w:val="20"/>
          <w:szCs w:val="20"/>
          <w:u w:val="single"/>
          <w:lang w:eastAsia="es-ES"/>
        </w:rPr>
        <w:t>que eviten las afecciones negativas para las especies que hayan motivado la designación de esas áreas”.</w:t>
      </w:r>
    </w:p>
    <w:p>
      <w:pPr>
        <w:pStyle w:val="Normal"/>
        <w:shd w:val="clear" w:color="auto" w:fill="FFFFFF" w:themeFill="background1"/>
        <w:spacing w:lineRule="auto" w:line="240" w:before="0" w:after="0"/>
        <w:jc w:val="both"/>
        <w:rPr>
          <w:rFonts w:eastAsia="Times New Roman" w:cs="Times New Roman"/>
          <w:b/>
          <w:b/>
          <w:bCs/>
          <w:sz w:val="20"/>
          <w:szCs w:val="20"/>
          <w:lang w:eastAsia="es-ES"/>
        </w:rPr>
      </w:pPr>
      <w:r>
        <w:rPr>
          <w:rFonts w:eastAsia="Times New Roman" w:cs="Times New Roman"/>
          <w:b/>
          <w:bCs/>
          <w:sz w:val="20"/>
          <w:szCs w:val="20"/>
          <w:lang w:eastAsia="es-ES"/>
        </w:rPr>
      </w:r>
    </w:p>
    <w:p>
      <w:pPr>
        <w:pStyle w:val="Normal"/>
        <w:spacing w:lineRule="auto" w:line="240" w:before="0" w:after="0"/>
        <w:jc w:val="both"/>
        <w:rPr>
          <w:rStyle w:val="Markedcontent"/>
          <w:rFonts w:cs="Arial"/>
          <w:b/>
          <w:b/>
          <w:sz w:val="20"/>
          <w:szCs w:val="20"/>
        </w:rPr>
      </w:pPr>
      <w:r>
        <w:rPr>
          <w:rFonts w:cs="DejaVuSans-Oblique"/>
          <w:b/>
          <w:iCs/>
          <w:sz w:val="20"/>
          <w:szCs w:val="20"/>
        </w:rPr>
        <w:t xml:space="preserve">27. </w:t>
      </w:r>
      <w:r>
        <w:rPr>
          <w:rFonts w:cs="DejaVuSans-Oblique"/>
          <w:b/>
          <w:iCs/>
          <w:sz w:val="20"/>
          <w:szCs w:val="20"/>
          <w:u w:val="single"/>
        </w:rPr>
        <w:t xml:space="preserve">LAS DECLARACIONES DE IMPACTO AMBIENTAL HAN OBVIADO LAS ADVERTENCIAS DE LA </w:t>
      </w:r>
      <w:r>
        <w:rPr>
          <w:rStyle w:val="Markedcontent"/>
          <w:rFonts w:cs="Arial"/>
          <w:b/>
          <w:sz w:val="20"/>
          <w:szCs w:val="20"/>
          <w:u w:val="single"/>
        </w:rPr>
        <w:t>DIRECCIÓN GENERAL DE MEDIO NATURAL Y GESTIÓN FORESTAL DE ARAGÓN RESPECTO A  LA GRAVE AMENAZA DE LAS INSTALACIONES SOBRE EL QUEBRANTAHUESOS</w:t>
      </w:r>
    </w:p>
    <w:p>
      <w:pPr>
        <w:pStyle w:val="Normal"/>
        <w:spacing w:lineRule="auto" w:line="240" w:before="0" w:after="0"/>
        <w:rPr>
          <w:rFonts w:ascii="DejaVuSans-Oblique" w:hAnsi="DejaVuSans-Oblique" w:cs="DejaVuSans-Oblique"/>
          <w:i/>
          <w:i/>
          <w:iCs/>
          <w:sz w:val="8"/>
          <w:szCs w:val="8"/>
        </w:rPr>
      </w:pPr>
      <w:r>
        <w:rPr>
          <w:rFonts w:cs="DejaVuSans-Oblique" w:ascii="DejaVuSans-Oblique" w:hAnsi="DejaVuSans-Oblique"/>
          <w:i/>
          <w:iCs/>
          <w:sz w:val="8"/>
          <w:szCs w:val="8"/>
        </w:rPr>
      </w:r>
    </w:p>
    <w:p>
      <w:pPr>
        <w:pStyle w:val="Normal"/>
        <w:spacing w:lineRule="auto" w:line="240" w:before="0" w:after="0"/>
        <w:rPr>
          <w:rStyle w:val="Markedcontent"/>
          <w:rFonts w:cs="Arial"/>
          <w:b/>
          <w:b/>
          <w:sz w:val="20"/>
          <w:szCs w:val="20"/>
        </w:rPr>
      </w:pPr>
      <w:r>
        <w:rPr>
          <w:rStyle w:val="Markedcontent"/>
          <w:rFonts w:cs="Arial"/>
          <w:b/>
          <w:sz w:val="20"/>
          <w:szCs w:val="20"/>
        </w:rPr>
        <w:t>27.1. El Informe de la Dirección General de Medio Natural y Gestión Forestal de Aragón elaborado el 9 de abril de 2021, al ser consultada sobre la Autorización Administrativa previa de los parques eólicos del Clúster Maestrazgo señala:</w:t>
      </w:r>
    </w:p>
    <w:p>
      <w:pPr>
        <w:pStyle w:val="Normal"/>
        <w:spacing w:lineRule="auto" w:line="240" w:before="0" w:after="0"/>
        <w:rPr>
          <w:rFonts w:ascii="DejaVuSans-Oblique" w:hAnsi="DejaVuSans-Oblique" w:cs="DejaVuSans-Oblique"/>
          <w:i/>
          <w:i/>
          <w:iCs/>
          <w:sz w:val="8"/>
          <w:szCs w:val="8"/>
        </w:rPr>
      </w:pPr>
      <w:r>
        <w:rPr>
          <w:rFonts w:cs="DejaVuSans-Oblique" w:ascii="DejaVuSans-Oblique" w:hAnsi="DejaVuSans-Oblique"/>
          <w:i/>
          <w:iCs/>
          <w:sz w:val="8"/>
          <w:szCs w:val="8"/>
        </w:rPr>
      </w:r>
    </w:p>
    <w:p>
      <w:pPr>
        <w:pStyle w:val="Normal"/>
        <w:spacing w:lineRule="auto" w:line="240" w:before="0" w:after="0"/>
        <w:ind w:left="708" w:hanging="0"/>
        <w:jc w:val="both"/>
        <w:rPr>
          <w:rFonts w:eastAsia="Times New Roman"/>
          <w:b/>
          <w:b/>
          <w:i/>
          <w:i/>
          <w:sz w:val="20"/>
          <w:szCs w:val="20"/>
        </w:rPr>
      </w:pPr>
      <w:r>
        <w:rPr>
          <w:rFonts w:eastAsia="Times New Roman"/>
          <w:b/>
          <w:i/>
          <w:sz w:val="20"/>
          <w:szCs w:val="20"/>
        </w:rPr>
        <w:t>“</w:t>
      </w:r>
      <w:r>
        <w:rPr>
          <w:rFonts w:eastAsia="Times New Roman"/>
          <w:b/>
          <w:i/>
          <w:sz w:val="20"/>
          <w:szCs w:val="20"/>
        </w:rPr>
        <w:t>Con relación al quebrantahuesos, la actuación afectará de forma significativa a los objetivos de conservación del Plan de Recuperación del quebrantahuesos (Gypaetus barbatus) que en su revisión de 2003 (Decreto 45/2003, de 25 de febrero, del Gobierno de Aragón), incluyo tanto la ZEPA Rio Guadalope-Maestrazgo, como la de Moncayo - Los Fayos - Sierra de Armas, como parte de su ámbito de actuaciones, en base a los avistamientos esporádicos de la especie en estas áreas montañosas y a los ya previsibles programas de fomento de la expansión de la especie.</w:t>
      </w:r>
    </w:p>
    <w:p>
      <w:pPr>
        <w:pStyle w:val="Normal"/>
        <w:spacing w:lineRule="auto" w:line="240" w:before="0" w:after="0"/>
        <w:ind w:left="708" w:hanging="0"/>
        <w:jc w:val="both"/>
        <w:rPr>
          <w:rFonts w:eastAsia="Times New Roman"/>
          <w:b/>
          <w:b/>
          <w:i/>
          <w:i/>
          <w:sz w:val="20"/>
          <w:szCs w:val="20"/>
        </w:rPr>
      </w:pPr>
      <w:r>
        <w:rPr>
          <w:rFonts w:eastAsia="Times New Roman"/>
          <w:b/>
          <w:i/>
          <w:sz w:val="20"/>
          <w:szCs w:val="20"/>
        </w:rPr>
        <w:t>La puesta en marcha en 2018 de un programa de recuperación del quebrantahuesos en el Maestrazgo, promovido conjuntamente por las CCAA de Valencia, Cataluña, y Aragón, con la colaboración del Ministerio para la Transición Ecológico y el Reto Demográfico, ha favorecido la presencia de la especie en la zona, pudiendo identificar en base a los animales marcados hasta tres áreas de actividad habitual para los ejemplares que forman parte del programa, pero también para ejemplares de procedencia pirenaica que, de manera natural, han visitado la zona en los últimos tres años y cuya presencia se ha detectado mediante técnicas de fototrampeo. Las áreas de actividad identificadas, se sitúan en el entorno del Clúster eólico proyectado, habiéndose constatado desplazamientos de animales entre las mismas.</w:t>
      </w:r>
    </w:p>
    <w:p>
      <w:pPr>
        <w:pStyle w:val="Normal"/>
        <w:spacing w:lineRule="auto" w:line="240" w:before="0" w:after="0"/>
        <w:ind w:left="708" w:hanging="0"/>
        <w:jc w:val="both"/>
        <w:rPr>
          <w:rFonts w:eastAsia="Times New Roman"/>
          <w:b/>
          <w:b/>
          <w:i/>
          <w:i/>
          <w:sz w:val="20"/>
          <w:szCs w:val="20"/>
        </w:rPr>
      </w:pPr>
      <w:r>
        <w:rPr>
          <w:rFonts w:eastAsia="Times New Roman"/>
          <w:b/>
          <w:i/>
          <w:sz w:val="20"/>
          <w:szCs w:val="20"/>
        </w:rPr>
        <w:t>En concreto, la mitad este del área proyectada para el clúster supone una importante zona de paso de la especie entre el área de la Sierra de Gúdar (Puerto Mingalvo) y la zona del Rio Guadalope. Las infraestructuras proyectadas supondrían en este caso una barrera en la movilidad y un grave riesgo de mortalidad para la especie, tanto por la cercanía de ciertos parques a las zonas habituales de presencia como por ubicarse en los pasillos de vuelo entre las mismas, algo que afectará gravemente a la viabilidad futura del programa de reintroducción de la especie”</w:t>
      </w:r>
      <w:r>
        <w:rPr>
          <w:rFonts w:eastAsia="Times New Roman"/>
          <w:b/>
          <w:i/>
        </w:rPr>
        <w:t>.</w:t>
      </w:r>
    </w:p>
    <w:p>
      <w:pPr>
        <w:pStyle w:val="Normal"/>
        <w:spacing w:lineRule="auto" w:line="240" w:before="0" w:after="0"/>
        <w:rPr>
          <w:rFonts w:ascii="DejaVuSans-Oblique" w:hAnsi="DejaVuSans-Oblique" w:cs="DejaVuSans-Oblique"/>
          <w:b/>
          <w:b/>
          <w:i/>
          <w:i/>
          <w:iCs/>
          <w:sz w:val="8"/>
          <w:szCs w:val="8"/>
        </w:rPr>
      </w:pPr>
      <w:r>
        <w:rPr>
          <w:rFonts w:cs="DejaVuSans-Oblique" w:ascii="DejaVuSans-Oblique" w:hAnsi="DejaVuSans-Oblique"/>
          <w:b/>
          <w:i/>
          <w:iCs/>
          <w:sz w:val="8"/>
          <w:szCs w:val="8"/>
        </w:rPr>
      </w:r>
    </w:p>
    <w:p>
      <w:pPr>
        <w:pStyle w:val="Normal"/>
        <w:spacing w:lineRule="auto" w:line="240" w:before="0" w:after="0"/>
        <w:rPr/>
      </w:pPr>
      <w:hyperlink r:id="rId37">
        <w:r>
          <w:rPr>
            <w:rStyle w:val="EnlacedeInternet"/>
            <w:b/>
            <w:color w:val="auto"/>
            <w:sz w:val="20"/>
            <w:szCs w:val="20"/>
          </w:rPr>
          <w:t>https://drive.google.com/file/d/1Yd7w2she0zhmDKHRV-qRgv9WmuiG7s35/view</w:t>
        </w:r>
      </w:hyperlink>
    </w:p>
    <w:p>
      <w:pPr>
        <w:pStyle w:val="Normal"/>
        <w:spacing w:lineRule="auto" w:line="240" w:before="0" w:after="0"/>
        <w:rPr>
          <w:b/>
          <w:b/>
          <w:sz w:val="20"/>
          <w:szCs w:val="20"/>
        </w:rPr>
      </w:pPr>
      <w:r>
        <w:rPr>
          <w:b/>
          <w:sz w:val="20"/>
          <w:szCs w:val="20"/>
        </w:rPr>
      </w:r>
    </w:p>
    <w:p>
      <w:pPr>
        <w:pStyle w:val="Normal"/>
        <w:shd w:val="clear" w:color="auto" w:fill="FFFFFF" w:themeFill="background1"/>
        <w:spacing w:lineRule="auto" w:line="240" w:before="0" w:after="0"/>
        <w:jc w:val="both"/>
        <w:rPr>
          <w:rFonts w:eastAsia="Times New Roman" w:cs="Times New Roman"/>
          <w:b/>
          <w:b/>
          <w:bCs/>
          <w:sz w:val="20"/>
          <w:szCs w:val="20"/>
          <w:lang w:eastAsia="es-ES"/>
        </w:rPr>
      </w:pPr>
      <w:r>
        <w:rPr>
          <w:rFonts w:eastAsia="Times New Roman" w:cs="Times New Roman"/>
          <w:b/>
          <w:bCs/>
          <w:sz w:val="20"/>
          <w:szCs w:val="20"/>
          <w:lang w:eastAsia="es-ES"/>
        </w:rPr>
        <w:t xml:space="preserve">28. </w:t>
      </w:r>
      <w:r>
        <w:rPr>
          <w:rFonts w:eastAsia="Times New Roman" w:cs="Times New Roman"/>
          <w:b/>
          <w:bCs/>
          <w:sz w:val="20"/>
          <w:szCs w:val="20"/>
          <w:u w:val="single"/>
          <w:lang w:eastAsia="es-ES"/>
        </w:rPr>
        <w:t>LAS EVALUACIONES AMBIENTALES NO VALORAN LA EXTRAORDINARIA PROXIMIDAD DE LAS AREAS IMPORTANTES PARA LAS AVES (IBAs)</w:t>
      </w:r>
    </w:p>
    <w:p>
      <w:pPr>
        <w:pStyle w:val="Normal"/>
        <w:shd w:val="clear" w:color="auto" w:fill="FFFFFF" w:themeFill="background1"/>
        <w:spacing w:lineRule="auto" w:line="240" w:before="0" w:after="0"/>
        <w:jc w:val="both"/>
        <w:rPr>
          <w:rFonts w:eastAsia="Times New Roman" w:cs="Times New Roman"/>
          <w:b/>
          <w:b/>
          <w:bCs/>
          <w:sz w:val="8"/>
          <w:szCs w:val="8"/>
          <w:lang w:eastAsia="es-ES"/>
        </w:rPr>
      </w:pPr>
      <w:r>
        <w:rPr>
          <w:rFonts w:eastAsia="Times New Roman" w:cs="Times New Roman"/>
          <w:b/>
          <w:bCs/>
          <w:sz w:val="8"/>
          <w:szCs w:val="8"/>
          <w:lang w:eastAsia="es-ES"/>
        </w:rPr>
      </w:r>
    </w:p>
    <w:p>
      <w:pPr>
        <w:pStyle w:val="Normal"/>
        <w:shd w:val="clear" w:color="auto" w:fill="FFFFFF" w:themeFill="background1"/>
        <w:spacing w:lineRule="auto" w:line="240" w:before="0" w:after="0"/>
        <w:jc w:val="both"/>
        <w:rPr>
          <w:rFonts w:eastAsia="Times New Roman" w:cs="Times New Roman"/>
          <w:b/>
          <w:b/>
          <w:bCs/>
          <w:sz w:val="20"/>
          <w:szCs w:val="20"/>
          <w:lang w:eastAsia="es-ES"/>
        </w:rPr>
      </w:pPr>
      <w:r>
        <w:rPr>
          <w:rFonts w:eastAsia="Times New Roman" w:cs="Times New Roman"/>
          <w:b/>
          <w:bCs/>
          <w:sz w:val="20"/>
          <w:szCs w:val="20"/>
          <w:lang w:eastAsia="es-ES"/>
        </w:rPr>
        <w:t>De los 20 parques eólicos con DIA favorable, 19 de ellos están a menos de 10 km de un Área de Importancia Internacional para las Aves (IBA)</w:t>
      </w:r>
    </w:p>
    <w:p>
      <w:pPr>
        <w:pStyle w:val="Normal"/>
        <w:shd w:val="clear" w:color="auto" w:fill="FFFFFF" w:themeFill="background1"/>
        <w:spacing w:lineRule="auto" w:line="240" w:before="0" w:after="0"/>
        <w:jc w:val="both"/>
        <w:rPr>
          <w:rFonts w:eastAsia="Times New Roman" w:cs="Times New Roman"/>
          <w:b/>
          <w:b/>
          <w:bCs/>
          <w:sz w:val="8"/>
          <w:szCs w:val="8"/>
          <w:lang w:eastAsia="es-ES"/>
        </w:rPr>
      </w:pPr>
      <w:r>
        <w:rPr>
          <w:rFonts w:eastAsia="Times New Roman" w:cs="Times New Roman"/>
          <w:b/>
          <w:bCs/>
          <w:sz w:val="8"/>
          <w:szCs w:val="8"/>
          <w:lang w:eastAsia="es-ES"/>
        </w:rPr>
      </w:r>
    </w:p>
    <w:p>
      <w:pPr>
        <w:pStyle w:val="Normal"/>
        <w:shd w:val="clear" w:color="auto" w:fill="FFFFFF" w:themeFill="background1"/>
        <w:spacing w:lineRule="auto" w:line="240" w:before="0" w:after="0"/>
        <w:jc w:val="both"/>
        <w:rPr>
          <w:rFonts w:eastAsia="Times New Roman" w:cs="Times New Roman"/>
          <w:b/>
          <w:b/>
          <w:bCs/>
          <w:sz w:val="8"/>
          <w:szCs w:val="8"/>
          <w:lang w:eastAsia="es-ES"/>
        </w:rPr>
      </w:pPr>
      <w:r>
        <w:rPr>
          <w:rFonts w:eastAsia="Times New Roman" w:cs="Times New Roman"/>
          <w:b/>
          <w:bCs/>
          <w:sz w:val="8"/>
          <w:szCs w:val="8"/>
          <w:lang w:eastAsia="es-ES"/>
        </w:rPr>
      </w:r>
    </w:p>
    <w:p>
      <w:pPr>
        <w:pStyle w:val="Normal"/>
        <w:shd w:val="clear" w:color="auto" w:fill="FFFFFF" w:themeFill="background1"/>
        <w:spacing w:lineRule="auto" w:line="240" w:before="0" w:after="0"/>
        <w:jc w:val="center"/>
        <w:rPr>
          <w:rFonts w:eastAsia="Times New Roman" w:cs="Times New Roman"/>
          <w:b/>
          <w:b/>
          <w:bCs/>
          <w:sz w:val="20"/>
          <w:szCs w:val="20"/>
          <w:lang w:eastAsia="es-ES"/>
        </w:rPr>
      </w:pPr>
      <w:r>
        <w:rPr/>
        <w:drawing>
          <wp:inline distT="0" distB="0" distL="0" distR="0">
            <wp:extent cx="4825365" cy="3395345"/>
            <wp:effectExtent l="0" t="0" r="0" b="0"/>
            <wp:docPr id="15" name="Imagen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4" descr=""/>
                    <pic:cNvPicPr>
                      <a:picLocks noChangeAspect="1" noChangeArrowheads="1"/>
                    </pic:cNvPicPr>
                  </pic:nvPicPr>
                  <pic:blipFill>
                    <a:blip r:embed="rId38"/>
                    <a:stretch>
                      <a:fillRect/>
                    </a:stretch>
                  </pic:blipFill>
                  <pic:spPr bwMode="auto">
                    <a:xfrm>
                      <a:off x="0" y="0"/>
                      <a:ext cx="4825365" cy="3395345"/>
                    </a:xfrm>
                    <a:prstGeom prst="rect">
                      <a:avLst/>
                    </a:prstGeom>
                  </pic:spPr>
                </pic:pic>
              </a:graphicData>
            </a:graphic>
          </wp:inline>
        </w:drawing>
      </w:r>
    </w:p>
    <w:p>
      <w:pPr>
        <w:pStyle w:val="Normal"/>
        <w:shd w:val="clear" w:color="auto" w:fill="FFFFFF" w:themeFill="background1"/>
        <w:spacing w:lineRule="auto" w:line="240" w:before="0" w:after="0"/>
        <w:jc w:val="center"/>
        <w:rPr>
          <w:rFonts w:eastAsia="Times New Roman" w:cs="Times New Roman"/>
          <w:b/>
          <w:b/>
          <w:bCs/>
          <w:sz w:val="20"/>
          <w:szCs w:val="20"/>
          <w:lang w:eastAsia="es-ES"/>
        </w:rPr>
      </w:pPr>
      <w:r>
        <w:rPr>
          <w:rFonts w:eastAsia="Times New Roman" w:cs="Times New Roman"/>
          <w:b/>
          <w:bCs/>
          <w:sz w:val="20"/>
          <w:szCs w:val="20"/>
          <w:lang w:eastAsia="es-ES"/>
        </w:rPr>
      </w:r>
    </w:p>
    <w:p>
      <w:pPr>
        <w:pStyle w:val="Normal"/>
        <w:shd w:val="clear" w:color="auto" w:fill="FFFFFF" w:themeFill="background1"/>
        <w:spacing w:lineRule="auto" w:line="240" w:before="0" w:after="0"/>
        <w:jc w:val="center"/>
        <w:rPr>
          <w:rFonts w:eastAsia="Times New Roman" w:cs="Times New Roman"/>
          <w:b/>
          <w:b/>
          <w:bCs/>
          <w:sz w:val="20"/>
          <w:szCs w:val="20"/>
          <w:lang w:eastAsia="es-ES"/>
        </w:rPr>
      </w:pPr>
      <w:r>
        <w:rPr/>
        <w:drawing>
          <wp:inline distT="0" distB="0" distL="0" distR="0">
            <wp:extent cx="4804410" cy="3451225"/>
            <wp:effectExtent l="0" t="0" r="0" b="0"/>
            <wp:docPr id="16" name="Imagen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7" descr=""/>
                    <pic:cNvPicPr>
                      <a:picLocks noChangeAspect="1" noChangeArrowheads="1"/>
                    </pic:cNvPicPr>
                  </pic:nvPicPr>
                  <pic:blipFill>
                    <a:blip r:embed="rId39"/>
                    <a:stretch>
                      <a:fillRect/>
                    </a:stretch>
                  </pic:blipFill>
                  <pic:spPr bwMode="auto">
                    <a:xfrm>
                      <a:off x="0" y="0"/>
                      <a:ext cx="4804410" cy="3451225"/>
                    </a:xfrm>
                    <a:prstGeom prst="rect">
                      <a:avLst/>
                    </a:prstGeom>
                  </pic:spPr>
                </pic:pic>
              </a:graphicData>
            </a:graphic>
          </wp:inline>
        </w:drawing>
      </w:r>
    </w:p>
    <w:p>
      <w:pPr>
        <w:pStyle w:val="Normal"/>
        <w:shd w:val="clear" w:color="auto" w:fill="FFFFFF" w:themeFill="background1"/>
        <w:spacing w:lineRule="auto" w:line="240" w:before="0" w:after="0"/>
        <w:jc w:val="center"/>
        <w:rPr>
          <w:rFonts w:eastAsia="Times New Roman" w:cs="Times New Roman"/>
          <w:b/>
          <w:b/>
          <w:bCs/>
          <w:sz w:val="20"/>
          <w:szCs w:val="20"/>
          <w:lang w:eastAsia="es-ES"/>
        </w:rPr>
      </w:pPr>
      <w:r>
        <w:rPr/>
        <w:drawing>
          <wp:inline distT="0" distB="0" distL="0" distR="0">
            <wp:extent cx="4489450" cy="3183255"/>
            <wp:effectExtent l="0" t="0" r="0" b="0"/>
            <wp:docPr id="17" name="Imagen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11" descr=""/>
                    <pic:cNvPicPr>
                      <a:picLocks noChangeAspect="1" noChangeArrowheads="1"/>
                    </pic:cNvPicPr>
                  </pic:nvPicPr>
                  <pic:blipFill>
                    <a:blip r:embed="rId40"/>
                    <a:stretch>
                      <a:fillRect/>
                    </a:stretch>
                  </pic:blipFill>
                  <pic:spPr bwMode="auto">
                    <a:xfrm>
                      <a:off x="0" y="0"/>
                      <a:ext cx="4489450" cy="3183255"/>
                    </a:xfrm>
                    <a:prstGeom prst="rect">
                      <a:avLst/>
                    </a:prstGeom>
                  </pic:spPr>
                </pic:pic>
              </a:graphicData>
            </a:graphic>
          </wp:inline>
        </w:drawing>
      </w:r>
    </w:p>
    <w:p>
      <w:pPr>
        <w:pStyle w:val="Normal"/>
        <w:shd w:val="clear" w:color="auto" w:fill="FFFFFF" w:themeFill="background1"/>
        <w:spacing w:lineRule="auto" w:line="240" w:before="0" w:after="0"/>
        <w:jc w:val="center"/>
        <w:rPr>
          <w:rFonts w:eastAsia="Times New Roman" w:cs="Times New Roman"/>
          <w:b/>
          <w:b/>
          <w:bCs/>
          <w:sz w:val="20"/>
          <w:szCs w:val="20"/>
          <w:lang w:eastAsia="es-ES"/>
        </w:rPr>
      </w:pPr>
      <w:r>
        <w:rPr>
          <w:rFonts w:eastAsia="Times New Roman" w:cs="Times New Roman"/>
          <w:b/>
          <w:bCs/>
          <w:sz w:val="20"/>
          <w:szCs w:val="20"/>
          <w:lang w:eastAsia="es-ES"/>
        </w:rPr>
      </w:r>
    </w:p>
    <w:p>
      <w:pPr>
        <w:pStyle w:val="Normal"/>
        <w:shd w:val="clear" w:color="auto" w:fill="FFFFFF" w:themeFill="background1"/>
        <w:spacing w:lineRule="auto" w:line="240" w:before="0" w:after="0"/>
        <w:jc w:val="both"/>
        <w:rPr>
          <w:rFonts w:eastAsia="Times New Roman" w:cs="Times New Roman"/>
          <w:b/>
          <w:b/>
          <w:bCs/>
          <w:sz w:val="20"/>
          <w:szCs w:val="20"/>
          <w:u w:val="single"/>
          <w:lang w:eastAsia="es-ES"/>
        </w:rPr>
      </w:pPr>
      <w:r>
        <w:rPr>
          <w:rFonts w:eastAsia="Times New Roman" w:cs="Times New Roman"/>
          <w:b/>
          <w:bCs/>
          <w:sz w:val="20"/>
          <w:szCs w:val="20"/>
          <w:lang w:eastAsia="es-ES"/>
        </w:rPr>
        <w:t xml:space="preserve">29. </w:t>
      </w:r>
      <w:r>
        <w:rPr>
          <w:rFonts w:eastAsia="Times New Roman" w:cs="Times New Roman"/>
          <w:b/>
          <w:bCs/>
          <w:sz w:val="20"/>
          <w:szCs w:val="20"/>
          <w:u w:val="single"/>
          <w:lang w:eastAsia="es-ES"/>
        </w:rPr>
        <w:t>LA EVALUACIÓN AMBIENTAL NO VALORA LA CIRCUNSTANCIA DE QUE LOS EMPLAZAMIENTOS SE SITÚAN EN UNA DE LOS 12 GRANDES CORREDORES ECOLÓGICOS DE LA PENÍNSULA</w:t>
      </w:r>
    </w:p>
    <w:p>
      <w:pPr>
        <w:pStyle w:val="NormalWeb"/>
        <w:shd w:val="clear" w:color="auto" w:fill="FFFFFF"/>
        <w:spacing w:beforeAutospacing="0" w:before="0" w:afterAutospacing="0" w:after="0"/>
        <w:jc w:val="both"/>
        <w:rPr>
          <w:rFonts w:ascii="Calibri" w:hAnsi="Calibri" w:cs="Arial" w:asciiTheme="minorHAnsi" w:hAnsiTheme="minorHAnsi"/>
          <w:b/>
          <w:b/>
          <w:sz w:val="8"/>
          <w:szCs w:val="8"/>
        </w:rPr>
      </w:pPr>
      <w:r>
        <w:rPr>
          <w:rFonts w:cs="Arial" w:ascii="Calibri" w:hAnsi="Calibri"/>
          <w:b/>
          <w:sz w:val="8"/>
          <w:szCs w:val="8"/>
        </w:rPr>
      </w:r>
    </w:p>
    <w:p>
      <w:pPr>
        <w:pStyle w:val="Normal"/>
        <w:spacing w:lineRule="auto" w:line="240" w:before="0" w:after="0"/>
        <w:jc w:val="both"/>
        <w:rPr>
          <w:b/>
          <w:b/>
          <w:sz w:val="20"/>
          <w:szCs w:val="20"/>
        </w:rPr>
      </w:pPr>
      <w:r>
        <w:rPr>
          <w:b/>
          <w:sz w:val="20"/>
          <w:szCs w:val="20"/>
        </w:rPr>
        <w:t>29.1. Las ubicaciones de los 20 parques eólicos y las dos plantas fotovoltaicas del Clúster Maestrazgo coinciden sustancialmente con uno de los corredores ecológicos de carácter regional definidos en la propuesta de WWF/España para una Red Estratégica de Corredores Ecológicos entre espacios Red Natura 2000.</w:t>
      </w:r>
    </w:p>
    <w:p>
      <w:pPr>
        <w:pStyle w:val="NormalWeb"/>
        <w:shd w:val="clear" w:color="auto" w:fill="FFFFFF"/>
        <w:spacing w:beforeAutospacing="0" w:before="0" w:afterAutospacing="0" w:after="0"/>
        <w:jc w:val="both"/>
        <w:rPr>
          <w:rFonts w:ascii="Calibri" w:hAnsi="Calibri" w:cs="Arial" w:asciiTheme="minorHAnsi" w:hAnsiTheme="minorHAnsi"/>
          <w:b/>
          <w:b/>
          <w:sz w:val="8"/>
          <w:szCs w:val="8"/>
        </w:rPr>
      </w:pPr>
      <w:r>
        <w:rPr>
          <w:rFonts w:cs="Arial" w:ascii="Calibri" w:hAnsi="Calibri"/>
          <w:b/>
          <w:sz w:val="8"/>
          <w:szCs w:val="8"/>
        </w:rPr>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hyperlink r:id="rId41">
        <w:r>
          <w:rPr>
            <w:rStyle w:val="EnlacedeInternet"/>
            <w:rFonts w:cs="Arial" w:ascii="Calibri" w:hAnsi="Calibri" w:asciiTheme="minorHAnsi" w:hAnsiTheme="minorHAnsi"/>
            <w:b/>
            <w:color w:val="auto"/>
            <w:sz w:val="20"/>
            <w:szCs w:val="20"/>
          </w:rPr>
          <w:t>https://conservationcorridor.org/cpb/Mateo-Sanchez_2018.pdf</w:t>
        </w:r>
      </w:hyperlink>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b/>
          <w:sz w:val="20"/>
          <w:szCs w:val="20"/>
        </w:rPr>
      </w:r>
    </w:p>
    <w:p>
      <w:pPr>
        <w:pStyle w:val="Normal"/>
        <w:spacing w:lineRule="auto" w:line="240" w:before="0" w:after="0"/>
        <w:jc w:val="both"/>
        <w:rPr>
          <w:rFonts w:cs="Georgia"/>
          <w:b/>
          <w:b/>
          <w:sz w:val="20"/>
          <w:szCs w:val="20"/>
        </w:rPr>
      </w:pPr>
      <w:r>
        <w:rPr>
          <w:rFonts w:cs="Arial"/>
          <w:b/>
          <w:sz w:val="20"/>
          <w:szCs w:val="20"/>
        </w:rPr>
        <w:t xml:space="preserve">WWF </w:t>
      </w:r>
      <w:r>
        <w:rPr>
          <w:rFonts w:cs="Georgia"/>
          <w:b/>
          <w:sz w:val="20"/>
          <w:szCs w:val="20"/>
        </w:rPr>
        <w:t xml:space="preserve">ha identificado doce corredores prioritarios entre los hábitats forestales de Red Natura 2000 </w:t>
      </w:r>
      <w:r>
        <w:rPr>
          <w:rFonts w:cs="Georgia"/>
          <w:b/>
          <w:sz w:val="20"/>
          <w:szCs w:val="20"/>
          <w:u w:val="single"/>
        </w:rPr>
        <w:t>con el objetivo de garantizar la movilidad de las especies forestales.</w:t>
      </w:r>
      <w:r>
        <w:rPr>
          <w:rFonts w:cs="Georgia"/>
          <w:b/>
          <w:sz w:val="20"/>
          <w:szCs w:val="20"/>
        </w:rPr>
        <w:t xml:space="preserve"> </w:t>
      </w:r>
    </w:p>
    <w:p>
      <w:pPr>
        <w:pStyle w:val="Normal"/>
        <w:spacing w:lineRule="auto" w:line="240" w:before="0" w:after="0"/>
        <w:rPr>
          <w:rFonts w:cs="Georgia"/>
          <w:b/>
          <w:b/>
          <w:sz w:val="20"/>
          <w:szCs w:val="20"/>
        </w:rPr>
      </w:pPr>
      <w:r>
        <w:rPr>
          <w:rFonts w:cs="Georgia"/>
          <w:b/>
          <w:sz w:val="20"/>
          <w:szCs w:val="20"/>
        </w:rPr>
      </w:r>
    </w:p>
    <w:p>
      <w:pPr>
        <w:pStyle w:val="Normal"/>
        <w:spacing w:lineRule="auto" w:line="240" w:before="0" w:after="0"/>
        <w:jc w:val="center"/>
        <w:rPr>
          <w:rFonts w:cs="Georgia"/>
          <w:b/>
          <w:b/>
          <w:sz w:val="20"/>
          <w:szCs w:val="20"/>
        </w:rPr>
      </w:pPr>
      <w:r>
        <w:rPr/>
        <w:drawing>
          <wp:inline distT="0" distB="0" distL="0" distR="0">
            <wp:extent cx="5831840" cy="3611880"/>
            <wp:effectExtent l="0" t="0" r="0" b="0"/>
            <wp:docPr id="18" name="Imagen12" descr="E:\...0.2023.01.Fiscalía\Cor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12" descr="E:\...0.2023.01.Fiscalía\Corred.JPG"/>
                    <pic:cNvPicPr>
                      <a:picLocks noChangeAspect="1" noChangeArrowheads="1"/>
                    </pic:cNvPicPr>
                  </pic:nvPicPr>
                  <pic:blipFill>
                    <a:blip r:embed="rId42"/>
                    <a:stretch>
                      <a:fillRect/>
                    </a:stretch>
                  </pic:blipFill>
                  <pic:spPr bwMode="auto">
                    <a:xfrm>
                      <a:off x="0" y="0"/>
                      <a:ext cx="5831840" cy="3611880"/>
                    </a:xfrm>
                    <a:prstGeom prst="rect">
                      <a:avLst/>
                    </a:prstGeom>
                  </pic:spPr>
                </pic:pic>
              </a:graphicData>
            </a:graphic>
          </wp:inline>
        </w:drawing>
      </w:r>
    </w:p>
    <w:p>
      <w:pPr>
        <w:pStyle w:val="Normal"/>
        <w:spacing w:lineRule="auto" w:line="240" w:before="0" w:after="0"/>
        <w:rPr>
          <w:rFonts w:cs="Georgia"/>
          <w:b/>
          <w:b/>
          <w:sz w:val="20"/>
          <w:szCs w:val="20"/>
        </w:rPr>
      </w:pPr>
      <w:r>
        <w:rPr>
          <w:rFonts w:cs="Georgia"/>
          <w:b/>
          <w:sz w:val="20"/>
          <w:szCs w:val="20"/>
        </w:rPr>
      </w:r>
    </w:p>
    <w:p>
      <w:pPr>
        <w:pStyle w:val="Normal"/>
        <w:spacing w:lineRule="auto" w:line="240" w:before="0" w:after="0"/>
        <w:jc w:val="center"/>
        <w:rPr>
          <w:rFonts w:cs="Georgia"/>
          <w:b/>
          <w:b/>
          <w:sz w:val="20"/>
          <w:szCs w:val="20"/>
        </w:rPr>
      </w:pPr>
      <w:r>
        <w:rPr/>
        <w:drawing>
          <wp:inline distT="0" distB="0" distL="0" distR="0">
            <wp:extent cx="4570730" cy="2917190"/>
            <wp:effectExtent l="0" t="0" r="0" b="0"/>
            <wp:docPr id="19" name="Imagen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6" descr=""/>
                    <pic:cNvPicPr>
                      <a:picLocks noChangeAspect="1" noChangeArrowheads="1"/>
                    </pic:cNvPicPr>
                  </pic:nvPicPr>
                  <pic:blipFill>
                    <a:blip r:embed="rId43"/>
                    <a:stretch>
                      <a:fillRect/>
                    </a:stretch>
                  </pic:blipFill>
                  <pic:spPr bwMode="auto">
                    <a:xfrm>
                      <a:off x="0" y="0"/>
                      <a:ext cx="4570730" cy="2917190"/>
                    </a:xfrm>
                    <a:prstGeom prst="rect">
                      <a:avLst/>
                    </a:prstGeom>
                  </pic:spPr>
                </pic:pic>
              </a:graphicData>
            </a:graphic>
          </wp:inline>
        </w:drawing>
      </w:r>
    </w:p>
    <w:p>
      <w:pPr>
        <w:pStyle w:val="Normal"/>
        <w:spacing w:lineRule="auto" w:line="240" w:before="0" w:after="0"/>
        <w:rPr>
          <w:b/>
          <w:b/>
          <w:sz w:val="24"/>
          <w:szCs w:val="24"/>
        </w:rPr>
      </w:pPr>
      <w:r>
        <w:rPr>
          <w:b/>
          <w:sz w:val="24"/>
          <w:szCs w:val="24"/>
        </w:rPr>
      </w:r>
    </w:p>
    <w:p>
      <w:pPr>
        <w:pStyle w:val="Normal"/>
        <w:spacing w:lineRule="auto" w:line="240" w:before="0" w:after="0"/>
        <w:jc w:val="both"/>
        <w:rPr>
          <w:b/>
          <w:b/>
          <w:sz w:val="20"/>
          <w:szCs w:val="20"/>
        </w:rPr>
      </w:pPr>
      <w:r>
        <w:rPr>
          <w:b/>
          <w:sz w:val="20"/>
          <w:szCs w:val="20"/>
        </w:rPr>
        <w:t>29.2. La protección legal de estos corredores se recoge en el artículo 47 de la Ley 42/2007, de 13 de diciembre, del Patrimonio Natural y de la Biodiversidad que establece que:</w:t>
      </w:r>
    </w:p>
    <w:p>
      <w:pPr>
        <w:pStyle w:val="Normal"/>
        <w:spacing w:lineRule="auto" w:line="240" w:before="0" w:after="0"/>
        <w:rPr>
          <w:b/>
          <w:b/>
          <w:sz w:val="8"/>
          <w:szCs w:val="8"/>
        </w:rPr>
      </w:pPr>
      <w:r>
        <w:rPr>
          <w:b/>
          <w:sz w:val="8"/>
          <w:szCs w:val="8"/>
        </w:rPr>
      </w:r>
    </w:p>
    <w:p>
      <w:pPr>
        <w:pStyle w:val="Parrafo"/>
        <w:spacing w:beforeAutospacing="0" w:before="0" w:afterAutospacing="0" w:after="0"/>
        <w:ind w:left="708" w:hanging="0"/>
        <w:jc w:val="both"/>
        <w:rPr>
          <w:rFonts w:ascii="Calibri" w:hAnsi="Calibri" w:asciiTheme="minorHAnsi" w:hAnsiTheme="minorHAnsi"/>
          <w:b/>
          <w:b/>
          <w:i/>
          <w:i/>
          <w:sz w:val="20"/>
          <w:szCs w:val="20"/>
        </w:rPr>
      </w:pPr>
      <w:r>
        <w:rPr>
          <w:rFonts w:eastAsia="Calibri" w:cs="" w:ascii="Calibri" w:hAnsi="Calibri" w:asciiTheme="minorHAnsi" w:cstheme="minorBidi" w:eastAsiaTheme="minorHAnsi" w:hAnsiTheme="minorHAnsi"/>
          <w:b/>
          <w:i/>
          <w:sz w:val="20"/>
          <w:szCs w:val="20"/>
          <w:lang w:eastAsia="en-US"/>
        </w:rPr>
        <w:t>“</w:t>
      </w:r>
      <w:r>
        <w:rPr>
          <w:rFonts w:ascii="Calibri" w:hAnsi="Calibri" w:asciiTheme="minorHAnsi" w:hAnsiTheme="minorHAnsi"/>
          <w:b/>
          <w:i/>
          <w:sz w:val="20"/>
          <w:szCs w:val="20"/>
        </w:rPr>
        <w:t xml:space="preserve">Con el fin de mejorar la coherencia ecológica y la conectividad de la Red Natura 2000, las Administraciones </w:t>
      </w:r>
      <w:r>
        <w:rPr>
          <w:rFonts w:ascii="Calibri" w:hAnsi="Calibri" w:asciiTheme="minorHAnsi" w:hAnsiTheme="minorHAnsi"/>
          <w:b/>
          <w:i/>
          <w:sz w:val="20"/>
          <w:szCs w:val="20"/>
          <w:u w:val="single"/>
        </w:rPr>
        <w:t>fomentarán la conservación de corredores ecológicos y la gestión de aquellos elementos del paisaje y áreas terrestres y marinas que resultan esenciales o revistan primordial importancia para la migración</w:t>
      </w:r>
      <w:r>
        <w:rPr>
          <w:rFonts w:ascii="Calibri" w:hAnsi="Calibri" w:asciiTheme="minorHAnsi" w:hAnsiTheme="minorHAnsi"/>
          <w:b/>
          <w:i/>
          <w:sz w:val="20"/>
          <w:szCs w:val="20"/>
        </w:rPr>
        <w:t>, la distribución geográfica y el intercambio genético entre poblaciones de especies de fauna y flora silvestres, teniendo en cuenta los impactos futuros del cambio climático”.</w:t>
      </w:r>
    </w:p>
    <w:p>
      <w:pPr>
        <w:pStyle w:val="Normal"/>
        <w:spacing w:lineRule="auto" w:line="240" w:before="0" w:after="0"/>
        <w:jc w:val="both"/>
        <w:rPr>
          <w:rFonts w:cs="Arial"/>
          <w:b/>
          <w:b/>
          <w:sz w:val="20"/>
          <w:szCs w:val="20"/>
        </w:rPr>
      </w:pPr>
      <w:r>
        <w:rPr>
          <w:rFonts w:cs="Arial"/>
          <w:b/>
          <w:sz w:val="20"/>
          <w:szCs w:val="20"/>
        </w:rPr>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asciiTheme="minorHAnsi" w:hAnsiTheme="minorHAnsi"/>
          <w:b/>
          <w:sz w:val="20"/>
          <w:szCs w:val="20"/>
        </w:rPr>
        <w:t>29.3. Dice el estudio de avifauna del Estudio de impacto ambiental:</w:t>
      </w:r>
    </w:p>
    <w:p>
      <w:pPr>
        <w:pStyle w:val="Default"/>
        <w:jc w:val="both"/>
        <w:rPr>
          <w:rFonts w:ascii="Calibri" w:hAnsi="Calibri" w:asciiTheme="minorHAnsi" w:hAnsiTheme="minorHAnsi"/>
          <w:b/>
          <w:b/>
          <w:color w:val="auto"/>
          <w:sz w:val="8"/>
          <w:szCs w:val="8"/>
        </w:rPr>
      </w:pPr>
      <w:r>
        <w:rPr>
          <w:rFonts w:asciiTheme="minorHAnsi" w:hAnsiTheme="minorHAnsi" w:ascii="Calibri" w:hAnsi="Calibri"/>
          <w:b/>
          <w:color w:val="auto"/>
          <w:sz w:val="8"/>
          <w:szCs w:val="8"/>
        </w:rPr>
      </w:r>
    </w:p>
    <w:p>
      <w:pPr>
        <w:pStyle w:val="Normal"/>
        <w:spacing w:lineRule="auto" w:line="240" w:before="0" w:after="0"/>
        <w:ind w:left="708" w:hanging="0"/>
        <w:jc w:val="both"/>
        <w:rPr>
          <w:rFonts w:cs="Calibri"/>
          <w:b/>
          <w:b/>
          <w:i/>
          <w:i/>
          <w:sz w:val="20"/>
          <w:szCs w:val="20"/>
        </w:rPr>
      </w:pPr>
      <w:r>
        <w:rPr>
          <w:rFonts w:cs="Calibri"/>
          <w:b/>
          <w:i/>
          <w:sz w:val="20"/>
          <w:szCs w:val="20"/>
        </w:rPr>
        <w:t>“</w:t>
      </w:r>
      <w:r>
        <w:rPr>
          <w:rFonts w:cs="Calibri"/>
          <w:b/>
          <w:i/>
          <w:sz w:val="20"/>
          <w:szCs w:val="20"/>
        </w:rPr>
        <w:t xml:space="preserve">Según los resultados de los trabajos de campo y de acuerdo con los testimonios de Agentes de Protección de la Naturaleza, de técnicos y de ornitólogos de la zona de estudio, la comarca del Maestrazgo </w:t>
      </w:r>
      <w:r>
        <w:rPr>
          <w:rFonts w:cs="Calibri"/>
          <w:b/>
          <w:i/>
          <w:sz w:val="20"/>
          <w:szCs w:val="20"/>
          <w:u w:val="single"/>
        </w:rPr>
        <w:t>se localiza en una ruta migratoria de cierto interés para algunas especies de aves rapaces</w:t>
      </w:r>
      <w:r>
        <w:rPr>
          <w:rFonts w:cs="Calibri"/>
          <w:b/>
          <w:i/>
          <w:sz w:val="20"/>
          <w:szCs w:val="20"/>
        </w:rPr>
        <w:t>, destacando por su número el abejero europeo (</w:t>
      </w:r>
      <w:r>
        <w:rPr>
          <w:rFonts w:cs="Calibri"/>
          <w:b/>
          <w:i/>
          <w:iCs/>
          <w:sz w:val="20"/>
          <w:szCs w:val="20"/>
        </w:rPr>
        <w:t>Pernis apivorus</w:t>
      </w:r>
      <w:r>
        <w:rPr>
          <w:rFonts w:cs="Calibri"/>
          <w:b/>
          <w:i/>
          <w:sz w:val="20"/>
          <w:szCs w:val="20"/>
        </w:rPr>
        <w:t xml:space="preserve">) tanto en el paso pre-nupcial como en el post-nupcial (Mapa número 21). En la zona de estudio se aprecia una mayor intensidad de paso de abejeros europeos cuanto más al Este. </w:t>
      </w:r>
    </w:p>
    <w:p>
      <w:pPr>
        <w:pStyle w:val="Normal"/>
        <w:spacing w:lineRule="auto" w:line="240" w:before="0" w:after="0"/>
        <w:ind w:left="708" w:hanging="0"/>
        <w:jc w:val="both"/>
        <w:rPr>
          <w:rFonts w:cs="Calibri"/>
          <w:b/>
          <w:b/>
          <w:i/>
          <w:i/>
          <w:sz w:val="20"/>
          <w:szCs w:val="20"/>
        </w:rPr>
      </w:pPr>
      <w:r>
        <w:rPr>
          <w:rFonts w:cs="Calibri"/>
          <w:b/>
          <w:i/>
          <w:sz w:val="20"/>
          <w:szCs w:val="20"/>
        </w:rPr>
        <w:t>Como se ha apuntado más arriba, también se ha comprobado el paso post-nupcial de grulla común (</w:t>
      </w:r>
      <w:r>
        <w:rPr>
          <w:rFonts w:cs="Calibri"/>
          <w:b/>
          <w:i/>
          <w:iCs/>
          <w:sz w:val="20"/>
          <w:szCs w:val="20"/>
        </w:rPr>
        <w:t>Grus grus</w:t>
      </w:r>
      <w:r>
        <w:rPr>
          <w:rFonts w:cs="Calibri"/>
          <w:b/>
          <w:i/>
          <w:sz w:val="20"/>
          <w:szCs w:val="20"/>
        </w:rPr>
        <w:t xml:space="preserve">) en números más discretos que los del abejero europeo. </w:t>
      </w:r>
    </w:p>
    <w:p>
      <w:pPr>
        <w:pStyle w:val="NormalWeb"/>
        <w:shd w:val="clear" w:color="auto" w:fill="FFFFFF"/>
        <w:spacing w:beforeAutospacing="0" w:before="0" w:afterAutospacing="0" w:after="0"/>
        <w:ind w:left="708" w:hanging="0"/>
        <w:jc w:val="both"/>
        <w:rPr>
          <w:rFonts w:ascii="Calibri" w:hAnsi="Calibri" w:cs="Arial" w:asciiTheme="minorHAnsi" w:hAnsiTheme="minorHAnsi"/>
          <w:b/>
          <w:b/>
          <w:i/>
          <w:i/>
          <w:sz w:val="20"/>
          <w:szCs w:val="20"/>
        </w:rPr>
      </w:pPr>
      <w:r>
        <w:rPr>
          <w:rFonts w:eastAsia="Calibri" w:cs="Calibri" w:ascii="Calibri" w:hAnsi="Calibri" w:asciiTheme="minorHAnsi" w:eastAsiaTheme="minorHAnsi" w:hAnsiTheme="minorHAnsi"/>
          <w:b/>
          <w:i/>
          <w:sz w:val="20"/>
          <w:szCs w:val="20"/>
          <w:lang w:eastAsia="en-US"/>
        </w:rPr>
        <w:t>En cuanto a otras especies que viajan en solitario o en bandos pequeños, en la poligonal del parque se ha detectado cernícalo vulgar (</w:t>
      </w:r>
      <w:r>
        <w:rPr>
          <w:rFonts w:eastAsia="Calibri" w:cs="Calibri" w:ascii="Calibri" w:hAnsi="Calibri" w:asciiTheme="minorHAnsi" w:eastAsiaTheme="minorHAnsi" w:hAnsiTheme="minorHAnsi"/>
          <w:b/>
          <w:i/>
          <w:iCs/>
          <w:sz w:val="20"/>
          <w:szCs w:val="20"/>
          <w:lang w:eastAsia="en-US"/>
        </w:rPr>
        <w:t>Falco tinnunculus</w:t>
      </w:r>
      <w:r>
        <w:rPr>
          <w:rFonts w:eastAsia="Calibri" w:cs="Calibri" w:ascii="Calibri" w:hAnsi="Calibri" w:asciiTheme="minorHAnsi" w:eastAsiaTheme="minorHAnsi" w:hAnsiTheme="minorHAnsi"/>
          <w:b/>
          <w:i/>
          <w:sz w:val="20"/>
          <w:szCs w:val="20"/>
          <w:lang w:eastAsia="en-US"/>
        </w:rPr>
        <w:t>), y en la comarca se ha comprobado la migración de águila calzada (</w:t>
      </w:r>
      <w:r>
        <w:rPr>
          <w:rFonts w:eastAsia="Calibri" w:cs="Calibri" w:ascii="Calibri" w:hAnsi="Calibri" w:asciiTheme="minorHAnsi" w:eastAsiaTheme="minorHAnsi" w:hAnsiTheme="minorHAnsi"/>
          <w:b/>
          <w:i/>
          <w:iCs/>
          <w:sz w:val="20"/>
          <w:szCs w:val="20"/>
          <w:lang w:eastAsia="en-US"/>
        </w:rPr>
        <w:t>Aquila pennata</w:t>
      </w:r>
      <w:r>
        <w:rPr>
          <w:rFonts w:eastAsia="Calibri" w:cs="Calibri" w:ascii="Calibri" w:hAnsi="Calibri" w:asciiTheme="minorHAnsi" w:eastAsiaTheme="minorHAnsi" w:hAnsiTheme="minorHAnsi"/>
          <w:b/>
          <w:i/>
          <w:sz w:val="20"/>
          <w:szCs w:val="20"/>
          <w:lang w:eastAsia="en-US"/>
        </w:rPr>
        <w:t>), culebrera europea (</w:t>
      </w:r>
      <w:r>
        <w:rPr>
          <w:rFonts w:eastAsia="Calibri" w:cs="Calibri" w:ascii="Calibri" w:hAnsi="Calibri" w:asciiTheme="minorHAnsi" w:eastAsiaTheme="minorHAnsi" w:hAnsiTheme="minorHAnsi"/>
          <w:b/>
          <w:i/>
          <w:iCs/>
          <w:sz w:val="20"/>
          <w:szCs w:val="20"/>
          <w:lang w:eastAsia="en-US"/>
        </w:rPr>
        <w:t>Circaetus gallicus</w:t>
      </w:r>
      <w:r>
        <w:rPr>
          <w:rFonts w:eastAsia="Calibri" w:cs="Calibri" w:ascii="Calibri" w:hAnsi="Calibri" w:asciiTheme="minorHAnsi" w:eastAsiaTheme="minorHAnsi" w:hAnsiTheme="minorHAnsi"/>
          <w:b/>
          <w:i/>
          <w:sz w:val="20"/>
          <w:szCs w:val="20"/>
          <w:lang w:eastAsia="en-US"/>
        </w:rPr>
        <w:t>), águila pescadora (</w:t>
      </w:r>
      <w:r>
        <w:rPr>
          <w:rFonts w:eastAsia="Calibri" w:cs="Calibri" w:ascii="Calibri" w:hAnsi="Calibri" w:asciiTheme="minorHAnsi" w:eastAsiaTheme="minorHAnsi" w:hAnsiTheme="minorHAnsi"/>
          <w:b/>
          <w:i/>
          <w:iCs/>
          <w:sz w:val="20"/>
          <w:szCs w:val="20"/>
          <w:lang w:eastAsia="en-US"/>
        </w:rPr>
        <w:t>Pandion haliaetus</w:t>
      </w:r>
      <w:r>
        <w:rPr>
          <w:rFonts w:eastAsia="Calibri" w:cs="Calibri" w:ascii="Calibri" w:hAnsi="Calibri" w:asciiTheme="minorHAnsi" w:eastAsiaTheme="minorHAnsi" w:hAnsiTheme="minorHAnsi"/>
          <w:b/>
          <w:i/>
          <w:sz w:val="20"/>
          <w:szCs w:val="20"/>
          <w:lang w:eastAsia="en-US"/>
        </w:rPr>
        <w:t>), aguilucho lagunero (</w:t>
      </w:r>
      <w:r>
        <w:rPr>
          <w:rFonts w:eastAsia="Calibri" w:cs="Calibri" w:ascii="Calibri" w:hAnsi="Calibri" w:asciiTheme="minorHAnsi" w:eastAsiaTheme="minorHAnsi" w:hAnsiTheme="minorHAnsi"/>
          <w:b/>
          <w:i/>
          <w:iCs/>
          <w:sz w:val="20"/>
          <w:szCs w:val="20"/>
          <w:lang w:eastAsia="en-US"/>
        </w:rPr>
        <w:t>Circus aeruginosus</w:t>
      </w:r>
      <w:r>
        <w:rPr>
          <w:rFonts w:eastAsia="Calibri" w:cs="Calibri" w:ascii="Calibri" w:hAnsi="Calibri" w:asciiTheme="minorHAnsi" w:eastAsiaTheme="minorHAnsi" w:hAnsiTheme="minorHAnsi"/>
          <w:b/>
          <w:i/>
          <w:sz w:val="20"/>
          <w:szCs w:val="20"/>
          <w:lang w:eastAsia="en-US"/>
        </w:rPr>
        <w:t>), aguilucho cenizo (</w:t>
      </w:r>
      <w:r>
        <w:rPr>
          <w:rFonts w:eastAsia="Calibri" w:cs="Calibri" w:ascii="Calibri" w:hAnsi="Calibri" w:asciiTheme="minorHAnsi" w:eastAsiaTheme="minorHAnsi" w:hAnsiTheme="minorHAnsi"/>
          <w:b/>
          <w:i/>
          <w:iCs/>
          <w:sz w:val="20"/>
          <w:szCs w:val="20"/>
          <w:lang w:eastAsia="en-US"/>
        </w:rPr>
        <w:t>Circus pygargus</w:t>
      </w:r>
      <w:r>
        <w:rPr>
          <w:rFonts w:eastAsia="Calibri" w:cs="Calibri" w:ascii="Calibri" w:hAnsi="Calibri" w:asciiTheme="minorHAnsi" w:eastAsiaTheme="minorHAnsi" w:hAnsiTheme="minorHAnsi"/>
          <w:b/>
          <w:i/>
          <w:sz w:val="20"/>
          <w:szCs w:val="20"/>
          <w:lang w:eastAsia="en-US"/>
        </w:rPr>
        <w:t>), aguilucho pálido (</w:t>
      </w:r>
      <w:r>
        <w:rPr>
          <w:rFonts w:eastAsia="Calibri" w:cs="Calibri" w:ascii="Calibri" w:hAnsi="Calibri" w:asciiTheme="minorHAnsi" w:eastAsiaTheme="minorHAnsi" w:hAnsiTheme="minorHAnsi"/>
          <w:b/>
          <w:i/>
          <w:iCs/>
          <w:sz w:val="20"/>
          <w:szCs w:val="20"/>
          <w:lang w:eastAsia="en-US"/>
        </w:rPr>
        <w:t>Circus</w:t>
      </w:r>
      <w:r>
        <w:rPr>
          <w:rFonts w:eastAsia="Calibri" w:cs="Calibri" w:ascii="Calibri" w:hAnsi="Calibri" w:eastAsiaTheme="minorHAnsi"/>
          <w:b/>
          <w:i/>
          <w:iCs/>
          <w:sz w:val="20"/>
          <w:szCs w:val="20"/>
          <w:lang w:eastAsia="en-US"/>
        </w:rPr>
        <w:t xml:space="preserve"> cyaneus</w:t>
      </w:r>
      <w:r>
        <w:rPr>
          <w:rFonts w:eastAsia="Calibri" w:cs="Calibri" w:ascii="Calibri" w:hAnsi="Calibri" w:eastAsiaTheme="minorHAnsi"/>
          <w:b/>
          <w:i/>
          <w:sz w:val="20"/>
          <w:szCs w:val="20"/>
          <w:lang w:eastAsia="en-US"/>
        </w:rPr>
        <w:t>), milano negro (</w:t>
      </w:r>
      <w:r>
        <w:rPr>
          <w:rFonts w:eastAsia="Calibri" w:cs="Calibri" w:ascii="Calibri" w:hAnsi="Calibri" w:eastAsiaTheme="minorHAnsi"/>
          <w:b/>
          <w:i/>
          <w:iCs/>
          <w:sz w:val="20"/>
          <w:szCs w:val="20"/>
          <w:lang w:eastAsia="en-US"/>
        </w:rPr>
        <w:t>Milvus migrans</w:t>
      </w:r>
      <w:r>
        <w:rPr>
          <w:rFonts w:eastAsia="Calibri" w:cs="Calibri" w:ascii="Calibri" w:hAnsi="Calibri" w:eastAsiaTheme="minorHAnsi"/>
          <w:b/>
          <w:i/>
          <w:sz w:val="20"/>
          <w:szCs w:val="20"/>
          <w:lang w:eastAsia="en-US"/>
        </w:rPr>
        <w:t>), busardo ratonero (</w:t>
      </w:r>
      <w:r>
        <w:rPr>
          <w:rFonts w:eastAsia="Calibri" w:cs="Calibri" w:ascii="Calibri" w:hAnsi="Calibri" w:eastAsiaTheme="minorHAnsi"/>
          <w:b/>
          <w:i/>
          <w:iCs/>
          <w:sz w:val="20"/>
          <w:szCs w:val="20"/>
          <w:lang w:eastAsia="en-US"/>
        </w:rPr>
        <w:t>Buteo buteo</w:t>
      </w:r>
      <w:r>
        <w:rPr>
          <w:rFonts w:eastAsia="Calibri" w:cs="Calibri" w:ascii="Calibri" w:hAnsi="Calibri" w:eastAsiaTheme="minorHAnsi"/>
          <w:b/>
          <w:i/>
          <w:sz w:val="20"/>
          <w:szCs w:val="20"/>
          <w:lang w:eastAsia="en-US"/>
        </w:rPr>
        <w:t>) y alcotán europeo (</w:t>
      </w:r>
      <w:r>
        <w:rPr>
          <w:rFonts w:eastAsia="Calibri" w:cs="Calibri" w:ascii="Calibri" w:hAnsi="Calibri" w:eastAsiaTheme="minorHAnsi"/>
          <w:b/>
          <w:i/>
          <w:iCs/>
          <w:sz w:val="20"/>
          <w:szCs w:val="20"/>
          <w:lang w:eastAsia="en-US"/>
        </w:rPr>
        <w:t>Falco subbuteo</w:t>
      </w:r>
      <w:r>
        <w:rPr>
          <w:rFonts w:eastAsia="Calibri" w:cs="Calibri" w:ascii="Calibri" w:hAnsi="Calibri" w:eastAsiaTheme="minorHAnsi"/>
          <w:b/>
          <w:i/>
          <w:sz w:val="20"/>
          <w:szCs w:val="20"/>
          <w:lang w:eastAsia="en-US"/>
        </w:rPr>
        <w:t>)”.</w:t>
      </w:r>
    </w:p>
    <w:p>
      <w:pPr>
        <w:pStyle w:val="Normal"/>
        <w:spacing w:lineRule="auto" w:line="240" w:before="0" w:after="0"/>
        <w:jc w:val="both"/>
        <w:rPr>
          <w:rFonts w:cs="Arial"/>
          <w:b/>
          <w:b/>
          <w:sz w:val="20"/>
          <w:szCs w:val="20"/>
        </w:rPr>
      </w:pPr>
      <w:r>
        <w:rPr>
          <w:rFonts w:cs="Arial"/>
          <w:b/>
          <w:sz w:val="20"/>
          <w:szCs w:val="20"/>
        </w:rPr>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asciiTheme="minorHAnsi" w:hAnsiTheme="minorHAnsi"/>
          <w:b/>
          <w:sz w:val="20"/>
          <w:szCs w:val="20"/>
        </w:rPr>
        <w:t xml:space="preserve">30. </w:t>
      </w:r>
      <w:r>
        <w:rPr>
          <w:rFonts w:cs="Arial" w:ascii="Calibri" w:hAnsi="Calibri" w:asciiTheme="minorHAnsi" w:hAnsiTheme="minorHAnsi"/>
          <w:b/>
          <w:sz w:val="20"/>
          <w:szCs w:val="20"/>
          <w:u w:val="single"/>
        </w:rPr>
        <w:t>EL ESTUDIO AMBIENTAL ESTRATÉGICO DEL PLAN NACIONAL INTEGRADO DE ENERGÍA Y CLIMA 2021-2030 RECOMIENDA NO UTILIZAR ESTAS UBICACIONES</w:t>
      </w:r>
    </w:p>
    <w:p>
      <w:pPr>
        <w:pStyle w:val="NormalWeb"/>
        <w:shd w:val="clear" w:color="auto" w:fill="FFFFFF"/>
        <w:spacing w:beforeAutospacing="0" w:before="0" w:afterAutospacing="0" w:after="0"/>
        <w:jc w:val="both"/>
        <w:rPr>
          <w:rFonts w:ascii="Calibri" w:hAnsi="Calibri" w:cs="Arial" w:asciiTheme="minorHAnsi" w:hAnsiTheme="minorHAnsi"/>
          <w:b/>
          <w:b/>
          <w:sz w:val="8"/>
          <w:szCs w:val="8"/>
        </w:rPr>
      </w:pPr>
      <w:r>
        <w:rPr>
          <w:rFonts w:cs="Arial" w:ascii="Calibri" w:hAnsi="Calibri"/>
          <w:b/>
          <w:sz w:val="8"/>
          <w:szCs w:val="8"/>
        </w:rPr>
      </w:r>
    </w:p>
    <w:p>
      <w:pPr>
        <w:pStyle w:val="NormalWeb"/>
        <w:shd w:val="clear" w:color="auto" w:fill="FFFFFF"/>
        <w:spacing w:beforeAutospacing="0" w:before="0" w:afterAutospacing="0" w:after="0"/>
        <w:jc w:val="both"/>
        <w:rPr/>
      </w:pPr>
      <w:hyperlink r:id="rId44">
        <w:r>
          <w:rPr>
            <w:rStyle w:val="EnlacedeInternet"/>
            <w:rFonts w:cs="Arial" w:ascii="Calibri" w:hAnsi="Calibri" w:asciiTheme="minorHAnsi" w:hAnsiTheme="minorHAnsi"/>
            <w:b/>
            <w:color w:val="auto"/>
            <w:sz w:val="20"/>
            <w:szCs w:val="20"/>
          </w:rPr>
          <w:t>https://www.miteco.gob.es/images/es/eae_pniec_tcm30-506493.pdf</w:t>
        </w:r>
      </w:hyperlink>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b/>
          <w:sz w:val="20"/>
          <w:szCs w:val="20"/>
        </w:rPr>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asciiTheme="minorHAnsi" w:hAnsiTheme="minorHAnsi"/>
          <w:b/>
          <w:sz w:val="20"/>
          <w:szCs w:val="20"/>
        </w:rPr>
        <w:t>30.1. El Estudio ambiental estratégico del PNIEC señala:</w:t>
      </w:r>
    </w:p>
    <w:p>
      <w:pPr>
        <w:pStyle w:val="NormalWeb"/>
        <w:shd w:val="clear" w:color="auto" w:fill="FFFFFF"/>
        <w:spacing w:beforeAutospacing="0" w:before="0" w:afterAutospacing="0" w:after="0"/>
        <w:jc w:val="both"/>
        <w:rPr>
          <w:rFonts w:ascii="Calibri" w:hAnsi="Calibri" w:cs="Arial" w:asciiTheme="minorHAnsi" w:hAnsiTheme="minorHAnsi"/>
          <w:b/>
          <w:b/>
          <w:sz w:val="8"/>
          <w:szCs w:val="8"/>
        </w:rPr>
      </w:pPr>
      <w:r>
        <w:rPr>
          <w:rFonts w:cs="Arial" w:ascii="Calibri" w:hAnsi="Calibri"/>
          <w:b/>
          <w:sz w:val="8"/>
          <w:szCs w:val="8"/>
        </w:rPr>
      </w:r>
    </w:p>
    <w:p>
      <w:pPr>
        <w:pStyle w:val="NormalWeb"/>
        <w:shd w:val="clear" w:color="auto" w:fill="FFFFFF"/>
        <w:spacing w:beforeAutospacing="0" w:before="0" w:afterAutospacing="0" w:after="0"/>
        <w:ind w:left="708" w:hanging="0"/>
        <w:jc w:val="both"/>
        <w:rPr>
          <w:rFonts w:ascii="Calibri" w:hAnsi="Calibri" w:cs="Arial" w:asciiTheme="minorHAnsi" w:hAnsiTheme="minorHAnsi"/>
          <w:b/>
          <w:b/>
          <w:i/>
          <w:i/>
          <w:sz w:val="20"/>
          <w:szCs w:val="20"/>
        </w:rPr>
      </w:pPr>
      <w:r>
        <w:rPr>
          <w:rFonts w:cs="Arial" w:ascii="Calibri" w:hAnsi="Calibri" w:asciiTheme="minorHAnsi" w:hAnsiTheme="minorHAnsi"/>
          <w:b/>
          <w:i/>
          <w:sz w:val="20"/>
          <w:szCs w:val="20"/>
        </w:rPr>
        <w:t>“</w:t>
      </w:r>
      <w:r>
        <w:rPr>
          <w:rFonts w:cs="Arial" w:ascii="Calibri" w:hAnsi="Calibri" w:asciiTheme="minorHAnsi" w:hAnsiTheme="minorHAnsi"/>
          <w:b/>
          <w:i/>
          <w:sz w:val="20"/>
          <w:szCs w:val="20"/>
        </w:rPr>
        <w:t xml:space="preserve">Consideraciones ambientales en el trazado de las nuevas líneas. </w:t>
      </w:r>
    </w:p>
    <w:p>
      <w:pPr>
        <w:pStyle w:val="NormalWeb"/>
        <w:shd w:val="clear" w:color="auto" w:fill="FFFFFF"/>
        <w:spacing w:beforeAutospacing="0" w:before="0" w:afterAutospacing="0" w:after="0"/>
        <w:ind w:left="708" w:hanging="0"/>
        <w:jc w:val="both"/>
        <w:rPr>
          <w:rFonts w:ascii="Calibri" w:hAnsi="Calibri" w:cs="Arial" w:asciiTheme="minorHAnsi" w:hAnsiTheme="minorHAnsi"/>
          <w:b/>
          <w:b/>
          <w:i/>
          <w:i/>
          <w:sz w:val="20"/>
          <w:szCs w:val="20"/>
        </w:rPr>
      </w:pPr>
      <w:r>
        <w:rPr>
          <w:rFonts w:cs="Arial" w:ascii="Calibri" w:hAnsi="Calibri" w:asciiTheme="minorHAnsi" w:hAnsiTheme="minorHAnsi"/>
          <w:b/>
          <w:i/>
          <w:sz w:val="20"/>
          <w:szCs w:val="20"/>
        </w:rPr>
        <w:t xml:space="preserve">Además de las directrices derivadas de los instrumentos de planificación se considerarán las siguientes medidas: </w:t>
      </w:r>
    </w:p>
    <w:p>
      <w:pPr>
        <w:pStyle w:val="NormalWeb"/>
        <w:shd w:val="clear" w:color="auto" w:fill="FFFFFF"/>
        <w:spacing w:beforeAutospacing="0" w:before="0" w:afterAutospacing="0" w:after="0"/>
        <w:ind w:left="1416" w:hanging="0"/>
        <w:jc w:val="both"/>
        <w:rPr>
          <w:rFonts w:ascii="Calibri" w:hAnsi="Calibri" w:cs="Arial" w:asciiTheme="minorHAnsi" w:hAnsiTheme="minorHAnsi"/>
          <w:b/>
          <w:b/>
          <w:i/>
          <w:i/>
          <w:sz w:val="20"/>
          <w:szCs w:val="20"/>
        </w:rPr>
      </w:pPr>
      <w:r>
        <w:rPr>
          <w:rFonts w:cs="Arial" w:ascii="Calibri" w:hAnsi="Calibri" w:asciiTheme="minorHAnsi" w:hAnsiTheme="minorHAnsi"/>
          <w:b/>
          <w:i/>
          <w:sz w:val="20"/>
          <w:szCs w:val="20"/>
        </w:rPr>
        <w:t>-El trazado debe tener en cuenta aspectos como el alejamiento de la población y de espacios protegidos o de valor singular”.</w:t>
      </w:r>
    </w:p>
    <w:p>
      <w:pPr>
        <w:pStyle w:val="NormalWeb"/>
        <w:shd w:val="clear" w:color="auto" w:fill="FFFFFF"/>
        <w:spacing w:beforeAutospacing="0" w:before="0" w:afterAutospacing="0" w:after="0"/>
        <w:ind w:left="1416" w:hanging="0"/>
        <w:jc w:val="both"/>
        <w:rPr>
          <w:rFonts w:ascii="Calibri" w:hAnsi="Calibri" w:cs="Arial" w:asciiTheme="minorHAnsi" w:hAnsiTheme="minorHAnsi"/>
          <w:b/>
          <w:b/>
          <w:i/>
          <w:i/>
          <w:sz w:val="20"/>
          <w:szCs w:val="20"/>
        </w:rPr>
      </w:pPr>
      <w:r>
        <w:rPr>
          <w:rFonts w:cs="Arial" w:ascii="Calibri" w:hAnsi="Calibri"/>
          <w:b/>
          <w:i/>
          <w:sz w:val="20"/>
          <w:szCs w:val="20"/>
        </w:rPr>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asciiTheme="minorHAnsi" w:hAnsiTheme="minorHAnsi"/>
          <w:b/>
          <w:sz w:val="20"/>
          <w:szCs w:val="20"/>
        </w:rPr>
        <w:t>(Hay que tener en cuenta que la línea atraviesa la ZEPA durante 10 km)</w:t>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b/>
          <w:sz w:val="20"/>
          <w:szCs w:val="20"/>
        </w:rPr>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asciiTheme="minorHAnsi" w:hAnsiTheme="minorHAnsi"/>
          <w:b/>
          <w:sz w:val="20"/>
          <w:szCs w:val="20"/>
        </w:rPr>
        <w:t>30.2. El Estudio ambiental estratégico del PNIEC señala:</w:t>
      </w:r>
    </w:p>
    <w:p>
      <w:pPr>
        <w:pStyle w:val="NormalWeb"/>
        <w:shd w:val="clear" w:color="auto" w:fill="FFFFFF"/>
        <w:spacing w:beforeAutospacing="0" w:before="0" w:afterAutospacing="0" w:after="0"/>
        <w:jc w:val="both"/>
        <w:rPr>
          <w:rFonts w:ascii="Calibri" w:hAnsi="Calibri" w:cs="Arial" w:asciiTheme="minorHAnsi" w:hAnsiTheme="minorHAnsi"/>
          <w:b/>
          <w:b/>
          <w:sz w:val="8"/>
          <w:szCs w:val="8"/>
        </w:rPr>
      </w:pPr>
      <w:r>
        <w:rPr>
          <w:rFonts w:cs="Arial" w:ascii="Calibri" w:hAnsi="Calibri"/>
          <w:b/>
          <w:sz w:val="8"/>
          <w:szCs w:val="8"/>
        </w:rPr>
      </w:r>
    </w:p>
    <w:p>
      <w:pPr>
        <w:pStyle w:val="NormalWeb"/>
        <w:shd w:val="clear" w:color="auto" w:fill="FFFFFF"/>
        <w:spacing w:beforeAutospacing="0" w:before="0" w:afterAutospacing="0" w:after="0"/>
        <w:ind w:left="708" w:hanging="0"/>
        <w:jc w:val="both"/>
        <w:rPr>
          <w:rFonts w:ascii="Calibri" w:hAnsi="Calibri" w:cs="Arial" w:asciiTheme="minorHAnsi" w:hAnsiTheme="minorHAnsi"/>
          <w:b/>
          <w:b/>
          <w:i/>
          <w:i/>
          <w:sz w:val="20"/>
          <w:szCs w:val="20"/>
        </w:rPr>
      </w:pPr>
      <w:r>
        <w:rPr>
          <w:rFonts w:cs="Arial" w:ascii="Calibri" w:hAnsi="Calibri" w:asciiTheme="minorHAnsi" w:hAnsiTheme="minorHAnsi"/>
          <w:b/>
          <w:i/>
          <w:sz w:val="20"/>
          <w:szCs w:val="20"/>
        </w:rPr>
        <w:t>“</w:t>
      </w:r>
      <w:r>
        <w:rPr>
          <w:rFonts w:cs="Arial" w:ascii="Calibri" w:hAnsi="Calibri" w:asciiTheme="minorHAnsi" w:hAnsiTheme="minorHAnsi"/>
          <w:b/>
          <w:i/>
          <w:sz w:val="20"/>
          <w:szCs w:val="20"/>
        </w:rPr>
        <w:t>Recomendaciones para los proyectos de generación eléctrica con eólica:</w:t>
      </w:r>
    </w:p>
    <w:p>
      <w:pPr>
        <w:pStyle w:val="NormalWeb"/>
        <w:shd w:val="clear" w:color="auto" w:fill="FFFFFF"/>
        <w:spacing w:beforeAutospacing="0" w:before="0" w:afterAutospacing="0" w:after="0"/>
        <w:ind w:left="708" w:hanging="0"/>
        <w:jc w:val="both"/>
        <w:rPr>
          <w:rFonts w:ascii="Calibri" w:hAnsi="Calibri" w:cs="Arial" w:asciiTheme="minorHAnsi" w:hAnsiTheme="minorHAnsi"/>
          <w:b/>
          <w:b/>
          <w:i/>
          <w:i/>
          <w:sz w:val="20"/>
          <w:szCs w:val="20"/>
        </w:rPr>
      </w:pPr>
      <w:r>
        <w:rPr>
          <w:rFonts w:cs="Arial" w:ascii="Calibri" w:hAnsi="Calibri" w:asciiTheme="minorHAnsi" w:hAnsiTheme="minorHAnsi"/>
          <w:b/>
          <w:i/>
          <w:sz w:val="20"/>
          <w:szCs w:val="20"/>
        </w:rPr>
        <w:t xml:space="preserve">Con carácter general, como ya se ha indicado, se recomienda la exclusión de este tipo de instalaciones en Espacios Naturales Protegidos, y espacios de la Red Natura 2000. En estos casos, la instalación sólo estaría justificada en caso de que se verifique que es compatible, atendiendo a su ubicación, superficie y tipología, con los objetivos de conservación del espacio”. </w:t>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b/>
          <w:sz w:val="20"/>
          <w:szCs w:val="20"/>
        </w:rPr>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asciiTheme="minorHAnsi" w:hAnsiTheme="minorHAnsi"/>
          <w:b/>
          <w:sz w:val="20"/>
          <w:szCs w:val="20"/>
        </w:rPr>
        <w:t>30.3. El Estudio ambiental estratégico del PNIEC señala:</w:t>
      </w:r>
    </w:p>
    <w:p>
      <w:pPr>
        <w:pStyle w:val="Normal"/>
        <w:spacing w:lineRule="auto" w:line="240" w:before="0" w:after="0"/>
        <w:rPr>
          <w:rFonts w:ascii="Calibri" w:hAnsi="Calibri" w:cs="Calibri"/>
          <w:b/>
          <w:b/>
          <w:bCs/>
          <w:i/>
          <w:i/>
          <w:iCs/>
          <w:sz w:val="8"/>
          <w:szCs w:val="8"/>
        </w:rPr>
      </w:pPr>
      <w:r>
        <w:rPr>
          <w:rFonts w:cs="Calibri"/>
          <w:b/>
          <w:bCs/>
          <w:i/>
          <w:iCs/>
          <w:sz w:val="8"/>
          <w:szCs w:val="8"/>
        </w:rPr>
      </w:r>
    </w:p>
    <w:p>
      <w:pPr>
        <w:pStyle w:val="Normal"/>
        <w:spacing w:lineRule="auto" w:line="240" w:before="0" w:after="0"/>
        <w:ind w:left="708" w:hanging="0"/>
        <w:jc w:val="both"/>
        <w:rPr>
          <w:rFonts w:cs="Calibri"/>
          <w:b/>
          <w:b/>
          <w:i/>
          <w:i/>
          <w:sz w:val="20"/>
          <w:szCs w:val="20"/>
        </w:rPr>
      </w:pPr>
      <w:r>
        <w:rPr>
          <w:rFonts w:cs="Calibri"/>
          <w:b/>
          <w:bCs/>
          <w:i/>
          <w:iCs/>
          <w:sz w:val="20"/>
          <w:szCs w:val="20"/>
        </w:rPr>
        <w:t>“</w:t>
      </w:r>
      <w:r>
        <w:rPr>
          <w:rFonts w:cs="Calibri"/>
          <w:b/>
          <w:bCs/>
          <w:i/>
          <w:iCs/>
          <w:sz w:val="20"/>
          <w:szCs w:val="20"/>
        </w:rPr>
        <w:t>Promoción de criterios ambientales generales para la ubicación de instalaciones de energías renovables.</w:t>
      </w:r>
    </w:p>
    <w:p>
      <w:pPr>
        <w:pStyle w:val="Default"/>
        <w:ind w:left="708" w:hanging="0"/>
        <w:jc w:val="both"/>
        <w:rPr>
          <w:rFonts w:ascii="Calibri" w:hAnsi="Calibri" w:cs="Calibri" w:asciiTheme="minorHAnsi" w:hAnsiTheme="minorHAnsi"/>
          <w:b/>
          <w:b/>
          <w:i/>
          <w:i/>
          <w:color w:val="auto"/>
          <w:sz w:val="20"/>
          <w:szCs w:val="20"/>
        </w:rPr>
      </w:pPr>
      <w:r>
        <w:rPr>
          <w:rFonts w:cs="Calibri" w:ascii="Calibri" w:hAnsi="Calibri" w:asciiTheme="minorHAnsi" w:hAnsiTheme="minorHAnsi"/>
          <w:b/>
          <w:i/>
          <w:color w:val="auto"/>
          <w:sz w:val="20"/>
          <w:szCs w:val="20"/>
        </w:rPr>
        <w:t xml:space="preserve">El Ministerio para la Transición Ecológica y el Reto Demográfico promoverá, en el marco de la legislación vigente y mediante los instrumentos correspondientes, que los promotores, en la selección de emplazamientos tengan en cuenta, además de la disponibilidad del recurso, las restricciones ambientales que tenga el territorio, fomentando el seguimiento de los siguientes criterios: </w:t>
      </w:r>
    </w:p>
    <w:p>
      <w:pPr>
        <w:pStyle w:val="Default"/>
        <w:ind w:left="708" w:hanging="0"/>
        <w:jc w:val="both"/>
        <w:rPr>
          <w:rFonts w:ascii="Calibri" w:hAnsi="Calibri" w:cs="Calibri" w:asciiTheme="minorHAnsi" w:hAnsiTheme="minorHAnsi"/>
          <w:b/>
          <w:b/>
          <w:i/>
          <w:i/>
          <w:color w:val="auto"/>
          <w:sz w:val="8"/>
          <w:szCs w:val="8"/>
        </w:rPr>
      </w:pPr>
      <w:r>
        <w:rPr>
          <w:rFonts w:cs="Calibri" w:ascii="Calibri" w:hAnsi="Calibri"/>
          <w:b/>
          <w:i/>
          <w:color w:val="auto"/>
          <w:sz w:val="8"/>
          <w:szCs w:val="8"/>
        </w:rPr>
      </w:r>
    </w:p>
    <w:p>
      <w:pPr>
        <w:pStyle w:val="Normal"/>
        <w:spacing w:lineRule="auto" w:line="240" w:before="0" w:after="0"/>
        <w:ind w:left="708" w:hanging="0"/>
        <w:jc w:val="both"/>
        <w:rPr>
          <w:rFonts w:cs="Calibri"/>
          <w:b/>
          <w:b/>
          <w:i/>
          <w:i/>
          <w:sz w:val="20"/>
          <w:szCs w:val="20"/>
          <w:u w:val="single"/>
        </w:rPr>
      </w:pPr>
      <w:r>
        <w:rPr>
          <w:rFonts w:cs="Andalus"/>
          <w:b/>
          <w:i/>
          <w:sz w:val="20"/>
          <w:szCs w:val="20"/>
        </w:rPr>
        <w:t xml:space="preserve">- </w:t>
      </w:r>
      <w:r>
        <w:rPr>
          <w:rFonts w:cs="Calibri"/>
          <w:b/>
          <w:i/>
          <w:sz w:val="20"/>
          <w:szCs w:val="20"/>
        </w:rPr>
        <w:t xml:space="preserve">Las nuevas instalaciones se ubicarán preferentemente </w:t>
      </w:r>
      <w:r>
        <w:rPr>
          <w:rFonts w:cs="Calibri"/>
          <w:b/>
          <w:i/>
          <w:sz w:val="20"/>
          <w:szCs w:val="20"/>
          <w:u w:val="single"/>
        </w:rPr>
        <w:t xml:space="preserve">fuera de espacios protegidos, así como espacios de la Red Natura 2000. </w:t>
      </w:r>
    </w:p>
    <w:p>
      <w:pPr>
        <w:pStyle w:val="Normal"/>
        <w:spacing w:lineRule="auto" w:line="240" w:before="0" w:after="0"/>
        <w:ind w:left="708" w:hanging="0"/>
        <w:jc w:val="both"/>
        <w:rPr>
          <w:rFonts w:cs="Calibri"/>
          <w:b/>
          <w:b/>
          <w:i/>
          <w:i/>
          <w:sz w:val="8"/>
          <w:szCs w:val="8"/>
          <w:u w:val="single"/>
        </w:rPr>
      </w:pPr>
      <w:r>
        <w:rPr>
          <w:rFonts w:cs="Calibri"/>
          <w:b/>
          <w:i/>
          <w:sz w:val="8"/>
          <w:szCs w:val="8"/>
          <w:u w:val="single"/>
        </w:rPr>
      </w:r>
    </w:p>
    <w:p>
      <w:pPr>
        <w:pStyle w:val="Normal"/>
        <w:spacing w:lineRule="auto" w:line="240" w:before="0" w:after="0"/>
        <w:ind w:left="708" w:hanging="0"/>
        <w:jc w:val="both"/>
        <w:rPr>
          <w:rFonts w:cs="Calibri"/>
          <w:b/>
          <w:b/>
          <w:i/>
          <w:i/>
          <w:sz w:val="20"/>
          <w:szCs w:val="20"/>
        </w:rPr>
      </w:pPr>
      <w:r>
        <w:rPr>
          <w:rFonts w:cs="Andalus"/>
          <w:b/>
          <w:i/>
          <w:sz w:val="20"/>
          <w:szCs w:val="20"/>
        </w:rPr>
        <w:t xml:space="preserve">- </w:t>
      </w:r>
      <w:r>
        <w:rPr>
          <w:rFonts w:cs="Calibri"/>
          <w:b/>
          <w:i/>
          <w:sz w:val="20"/>
          <w:szCs w:val="20"/>
        </w:rPr>
        <w:t xml:space="preserve">En general, se evitará la afección a valores ambientales frágiles o de interés para la conservación, tales como </w:t>
      </w:r>
      <w:r>
        <w:rPr>
          <w:rFonts w:cs="Calibri"/>
          <w:b/>
          <w:i/>
          <w:sz w:val="20"/>
          <w:szCs w:val="20"/>
          <w:u w:val="single"/>
        </w:rPr>
        <w:t>puntos de interés geológico, hábitat de interés comunitario (especialmente los prioritarios), presencia de especies catalogadas o ecosistemas singulares, áreas de importancia para la conservación de las aves</w:t>
      </w:r>
      <w:r>
        <w:rPr>
          <w:rFonts w:cs="Calibri"/>
          <w:b/>
          <w:i/>
          <w:sz w:val="20"/>
          <w:szCs w:val="20"/>
        </w:rPr>
        <w:t xml:space="preserve">, zonas de valor paisajístico reconocidas en los planes de ordenación territorial, así como zonas de importancia por la presencia de elementos de patrimoniales”. </w:t>
      </w:r>
    </w:p>
    <w:p>
      <w:pPr>
        <w:pStyle w:val="NormalWeb"/>
        <w:shd w:val="clear" w:color="auto" w:fill="FFFFFF"/>
        <w:spacing w:beforeAutospacing="0" w:before="0" w:afterAutospacing="0" w:after="0"/>
        <w:jc w:val="both"/>
        <w:rPr>
          <w:rFonts w:ascii="Calibri" w:hAnsi="Calibri" w:eastAsia="Calibri" w:cs="Calibri" w:asciiTheme="minorHAnsi" w:eastAsiaTheme="minorHAnsi" w:hAnsiTheme="minorHAnsi"/>
          <w:b/>
          <w:b/>
          <w:sz w:val="20"/>
          <w:szCs w:val="20"/>
          <w:lang w:eastAsia="en-US"/>
        </w:rPr>
      </w:pPr>
      <w:r>
        <w:rPr>
          <w:rFonts w:eastAsia="Calibri" w:cs="Calibri" w:eastAsiaTheme="minorHAnsi" w:ascii="Calibri" w:hAnsi="Calibri"/>
          <w:b/>
          <w:sz w:val="20"/>
          <w:szCs w:val="20"/>
          <w:lang w:eastAsia="en-US"/>
        </w:rPr>
      </w:r>
    </w:p>
    <w:p>
      <w:pPr>
        <w:pStyle w:val="Normal"/>
        <w:spacing w:lineRule="auto" w:line="240" w:before="0" w:after="0"/>
        <w:jc w:val="both"/>
        <w:rPr>
          <w:b/>
          <w:b/>
          <w:sz w:val="20"/>
          <w:szCs w:val="20"/>
        </w:rPr>
      </w:pPr>
      <w:r>
        <w:rPr>
          <w:rFonts w:cs="Andalus"/>
          <w:b/>
          <w:sz w:val="20"/>
          <w:szCs w:val="20"/>
        </w:rPr>
        <w:t xml:space="preserve">30.4. La </w:t>
      </w:r>
      <w:r>
        <w:rPr>
          <w:rFonts w:cs="Arial"/>
          <w:b/>
          <w:iCs/>
          <w:sz w:val="20"/>
          <w:szCs w:val="20"/>
        </w:rPr>
        <w:t>Resolución de 30 de diciembre de 2020, de la Dirección General de Calidad y Evaluación Ambiental, por la que se formula la declaración ambiental estratégica del Plan Nacional Integrado de Energía y Clima 2021-2030.(BOE 11.01.2021)</w:t>
      </w:r>
      <w:r>
        <w:rPr>
          <w:b/>
          <w:sz w:val="20"/>
          <w:szCs w:val="20"/>
        </w:rPr>
        <w:t xml:space="preserve"> señala: </w:t>
      </w:r>
    </w:p>
    <w:p>
      <w:pPr>
        <w:pStyle w:val="Normal"/>
        <w:spacing w:lineRule="auto" w:line="240" w:before="0" w:after="0"/>
        <w:jc w:val="both"/>
        <w:rPr>
          <w:b/>
          <w:b/>
          <w:sz w:val="8"/>
          <w:szCs w:val="8"/>
        </w:rPr>
      </w:pPr>
      <w:r>
        <w:rPr>
          <w:b/>
          <w:sz w:val="8"/>
          <w:szCs w:val="8"/>
        </w:rPr>
      </w:r>
    </w:p>
    <w:p>
      <w:pPr>
        <w:pStyle w:val="Pa6"/>
        <w:spacing w:lineRule="auto" w:line="240"/>
        <w:ind w:left="708" w:hanging="0"/>
        <w:jc w:val="both"/>
        <w:rPr>
          <w:rFonts w:ascii="Calibri" w:hAnsi="Calibri" w:asciiTheme="minorHAnsi" w:hAnsiTheme="minorHAnsi"/>
          <w:b/>
          <w:b/>
          <w:i/>
          <w:i/>
          <w:sz w:val="20"/>
          <w:szCs w:val="20"/>
        </w:rPr>
      </w:pPr>
      <w:r>
        <w:rPr>
          <w:rFonts w:ascii="Calibri" w:hAnsi="Calibri" w:asciiTheme="minorHAnsi" w:hAnsiTheme="minorHAnsi"/>
          <w:b/>
          <w:i/>
          <w:sz w:val="20"/>
          <w:szCs w:val="20"/>
        </w:rPr>
        <w:t>“</w:t>
      </w:r>
      <w:r>
        <w:rPr>
          <w:rFonts w:ascii="Calibri" w:hAnsi="Calibri" w:asciiTheme="minorHAnsi" w:hAnsiTheme="minorHAnsi"/>
          <w:b/>
          <w:i/>
          <w:sz w:val="20"/>
          <w:szCs w:val="20"/>
        </w:rPr>
        <w:t>En el despliegue de instalaciones de energía renovable en el territorio se tendrán en cuenta los siguientes criterios de ubicación en relación con la conservación de la biodiversidad:</w:t>
      </w:r>
    </w:p>
    <w:p>
      <w:pPr>
        <w:pStyle w:val="Default"/>
        <w:rPr>
          <w:rFonts w:ascii="Calibri" w:hAnsi="Calibri" w:asciiTheme="minorHAnsi" w:hAnsiTheme="minorHAnsi"/>
          <w:color w:val="auto"/>
          <w:sz w:val="8"/>
          <w:szCs w:val="8"/>
        </w:rPr>
      </w:pPr>
      <w:r>
        <w:rPr>
          <w:rFonts w:asciiTheme="minorHAnsi" w:hAnsiTheme="minorHAnsi" w:ascii="Calibri" w:hAnsi="Calibri"/>
          <w:color w:val="auto"/>
          <w:sz w:val="8"/>
          <w:szCs w:val="8"/>
        </w:rPr>
      </w:r>
    </w:p>
    <w:p>
      <w:pPr>
        <w:pStyle w:val="NormalWeb"/>
        <w:shd w:val="clear" w:color="auto" w:fill="FFFFFF"/>
        <w:spacing w:beforeAutospacing="0" w:before="0" w:afterAutospacing="0" w:after="0"/>
        <w:ind w:left="708" w:hanging="0"/>
        <w:jc w:val="both"/>
        <w:rPr>
          <w:rFonts w:ascii="Calibri" w:hAnsi="Calibri" w:asciiTheme="minorHAnsi" w:hAnsiTheme="minorHAnsi"/>
          <w:b/>
          <w:b/>
          <w:i/>
          <w:i/>
          <w:sz w:val="20"/>
          <w:szCs w:val="20"/>
        </w:rPr>
      </w:pPr>
      <w:r>
        <w:rPr>
          <w:rFonts w:ascii="Calibri" w:hAnsi="Calibri" w:asciiTheme="minorHAnsi" w:hAnsiTheme="minorHAnsi"/>
          <w:b/>
          <w:i/>
          <w:sz w:val="20"/>
          <w:szCs w:val="20"/>
        </w:rPr>
        <w:t xml:space="preserve">- Se recomienda evitar la ocupación y el deterioro de las áreas de importancia para la biodiversidad, incluyendo, entre otros, los </w:t>
      </w:r>
      <w:r>
        <w:rPr>
          <w:rFonts w:ascii="Calibri" w:hAnsi="Calibri" w:asciiTheme="minorHAnsi" w:hAnsiTheme="minorHAnsi"/>
          <w:b/>
          <w:i/>
          <w:sz w:val="20"/>
          <w:szCs w:val="20"/>
          <w:u w:val="single"/>
        </w:rPr>
        <w:t>hábitats de interés comunitario</w:t>
      </w:r>
      <w:r>
        <w:rPr>
          <w:rFonts w:ascii="Calibri" w:hAnsi="Calibri" w:asciiTheme="minorHAnsi" w:hAnsiTheme="minorHAnsi"/>
          <w:b/>
          <w:i/>
          <w:sz w:val="20"/>
          <w:szCs w:val="20"/>
        </w:rPr>
        <w:t xml:space="preserve">, los espacios naturales protegidos, de acuerdo con la Ley 42/2007, de 13 de diciembre, del Patrimonio Natural y la Biodiversidad, la </w:t>
      </w:r>
      <w:r>
        <w:rPr>
          <w:rFonts w:ascii="Calibri" w:hAnsi="Calibri" w:asciiTheme="minorHAnsi" w:hAnsiTheme="minorHAnsi"/>
          <w:b/>
          <w:i/>
          <w:sz w:val="20"/>
          <w:szCs w:val="20"/>
          <w:u w:val="single"/>
        </w:rPr>
        <w:t>Red Natura 2000,</w:t>
      </w:r>
      <w:r>
        <w:rPr>
          <w:rFonts w:ascii="Calibri" w:hAnsi="Calibri" w:asciiTheme="minorHAnsi" w:hAnsiTheme="minorHAnsi"/>
          <w:b/>
          <w:i/>
          <w:sz w:val="20"/>
          <w:szCs w:val="20"/>
        </w:rPr>
        <w:t xml:space="preserve"> las </w:t>
      </w:r>
      <w:r>
        <w:rPr>
          <w:rFonts w:ascii="Calibri" w:hAnsi="Calibri" w:asciiTheme="minorHAnsi" w:hAnsiTheme="minorHAnsi"/>
          <w:b/>
          <w:i/>
          <w:sz w:val="20"/>
          <w:szCs w:val="20"/>
          <w:u w:val="single"/>
        </w:rPr>
        <w:t>áreas protegidas por instrumentos internacionales</w:t>
      </w:r>
      <w:r>
        <w:rPr>
          <w:rFonts w:ascii="Calibri" w:hAnsi="Calibri" w:asciiTheme="minorHAnsi" w:hAnsiTheme="minorHAnsi"/>
          <w:b/>
          <w:i/>
          <w:sz w:val="20"/>
          <w:szCs w:val="20"/>
        </w:rPr>
        <w:t xml:space="preserve">, las </w:t>
      </w:r>
      <w:r>
        <w:rPr>
          <w:rFonts w:ascii="Calibri" w:hAnsi="Calibri" w:asciiTheme="minorHAnsi" w:hAnsiTheme="minorHAnsi"/>
          <w:b/>
          <w:i/>
          <w:sz w:val="20"/>
          <w:szCs w:val="20"/>
          <w:u w:val="single"/>
        </w:rPr>
        <w:t>áreas importantes para la conservación de las aves (IBA)</w:t>
      </w:r>
      <w:r>
        <w:rPr>
          <w:rFonts w:ascii="Calibri" w:hAnsi="Calibri" w:asciiTheme="minorHAnsi" w:hAnsiTheme="minorHAnsi"/>
          <w:b/>
          <w:i/>
          <w:sz w:val="20"/>
          <w:szCs w:val="20"/>
        </w:rPr>
        <w:t>, las áreas de importancia y críticas sujetas a los planes de conservación y recuperación de especies protegidas, las áreas clave de presencia de especies declaradas en situación crítica, las zonas de paso y dispersión de especies amenazadas (conectividad ecológica), así como las zonas de protección de la avifauna contra la colisión y la electrocución en líneas eléctricas de alta tensión”</w:t>
      </w:r>
    </w:p>
    <w:p>
      <w:pPr>
        <w:pStyle w:val="NormalWeb"/>
        <w:shd w:val="clear" w:color="auto" w:fill="FFFFFF"/>
        <w:spacing w:beforeAutospacing="0" w:before="0" w:afterAutospacing="0" w:after="0"/>
        <w:ind w:left="708" w:hanging="0"/>
        <w:jc w:val="both"/>
        <w:rPr>
          <w:rFonts w:ascii="Calibri" w:hAnsi="Calibri" w:asciiTheme="minorHAnsi" w:hAnsiTheme="minorHAnsi"/>
          <w:b/>
          <w:b/>
          <w:i/>
          <w:i/>
          <w:sz w:val="8"/>
          <w:szCs w:val="8"/>
        </w:rPr>
      </w:pPr>
      <w:r>
        <w:rPr>
          <w:rFonts w:asciiTheme="minorHAnsi" w:hAnsiTheme="minorHAnsi" w:ascii="Calibri" w:hAnsi="Calibri"/>
          <w:b/>
          <w:i/>
          <w:sz w:val="8"/>
          <w:szCs w:val="8"/>
        </w:rPr>
      </w:r>
    </w:p>
    <w:p>
      <w:pPr>
        <w:pStyle w:val="NormalWeb"/>
        <w:shd w:val="clear" w:color="auto" w:fill="FFFFFF"/>
        <w:spacing w:beforeAutospacing="0" w:before="0" w:afterAutospacing="0" w:after="0"/>
        <w:ind w:left="708" w:hanging="0"/>
        <w:jc w:val="both"/>
        <w:rPr>
          <w:rFonts w:ascii="Calibri" w:hAnsi="Calibri" w:asciiTheme="minorHAnsi" w:hAnsiTheme="minorHAnsi"/>
          <w:b/>
          <w:b/>
          <w:i/>
          <w:i/>
          <w:sz w:val="20"/>
          <w:szCs w:val="20"/>
        </w:rPr>
      </w:pPr>
      <w:r>
        <w:rPr>
          <w:rFonts w:ascii="Calibri" w:hAnsi="Calibri" w:asciiTheme="minorHAnsi" w:hAnsiTheme="minorHAnsi"/>
          <w:b/>
          <w:i/>
          <w:sz w:val="20"/>
          <w:szCs w:val="20"/>
        </w:rPr>
        <w:t xml:space="preserve">- Se evitará el trazado de </w:t>
      </w:r>
      <w:r>
        <w:rPr>
          <w:rFonts w:ascii="Calibri" w:hAnsi="Calibri" w:asciiTheme="minorHAnsi" w:hAnsiTheme="minorHAnsi"/>
          <w:b/>
          <w:i/>
          <w:sz w:val="20"/>
          <w:szCs w:val="20"/>
          <w:u w:val="single"/>
        </w:rPr>
        <w:t>líneas eléctricas por zonas de alto valor ornitológico y forestal</w:t>
      </w:r>
      <w:r>
        <w:rPr>
          <w:rFonts w:ascii="Calibri" w:hAnsi="Calibri" w:asciiTheme="minorHAnsi" w:hAnsiTheme="minorHAnsi"/>
          <w:b/>
          <w:i/>
          <w:sz w:val="20"/>
          <w:szCs w:val="20"/>
        </w:rPr>
        <w:t>.</w:t>
      </w:r>
    </w:p>
    <w:p>
      <w:pPr>
        <w:pStyle w:val="NormalWeb"/>
        <w:shd w:val="clear" w:color="auto" w:fill="FFFFFF"/>
        <w:spacing w:beforeAutospacing="0" w:before="0" w:afterAutospacing="0" w:after="0"/>
        <w:ind w:left="708" w:hanging="0"/>
        <w:jc w:val="both"/>
        <w:rPr>
          <w:rFonts w:ascii="Calibri" w:hAnsi="Calibri" w:asciiTheme="minorHAnsi" w:hAnsiTheme="minorHAnsi"/>
          <w:b/>
          <w:b/>
          <w:i/>
          <w:i/>
          <w:sz w:val="8"/>
          <w:szCs w:val="8"/>
        </w:rPr>
      </w:pPr>
      <w:r>
        <w:rPr>
          <w:rFonts w:asciiTheme="minorHAnsi" w:hAnsiTheme="minorHAnsi" w:ascii="Calibri" w:hAnsi="Calibri"/>
          <w:b/>
          <w:i/>
          <w:sz w:val="8"/>
          <w:szCs w:val="8"/>
        </w:rPr>
      </w:r>
    </w:p>
    <w:p>
      <w:pPr>
        <w:pStyle w:val="Pa6"/>
        <w:spacing w:lineRule="auto" w:line="240"/>
        <w:ind w:left="708" w:hanging="0"/>
        <w:jc w:val="both"/>
        <w:rPr>
          <w:rFonts w:ascii="Calibri" w:hAnsi="Calibri" w:asciiTheme="minorHAnsi" w:hAnsiTheme="minorHAnsi"/>
          <w:b/>
          <w:b/>
          <w:i/>
          <w:i/>
          <w:sz w:val="20"/>
          <w:szCs w:val="20"/>
        </w:rPr>
      </w:pPr>
      <w:r>
        <w:rPr>
          <w:rFonts w:ascii="Calibri" w:hAnsi="Calibri" w:asciiTheme="minorHAnsi" w:hAnsiTheme="minorHAnsi"/>
          <w:b/>
          <w:i/>
          <w:sz w:val="20"/>
          <w:szCs w:val="20"/>
        </w:rPr>
        <w:t xml:space="preserve">- Para la protección de las aves incluidas en el Catálogo Español de Especies Amenazadas, se recomienda además que, en el caso de los parques eólicos, </w:t>
      </w:r>
      <w:r>
        <w:rPr>
          <w:rFonts w:ascii="Calibri" w:hAnsi="Calibri" w:asciiTheme="minorHAnsi" w:hAnsiTheme="minorHAnsi"/>
          <w:b/>
          <w:i/>
          <w:sz w:val="20"/>
          <w:szCs w:val="20"/>
          <w:u w:val="single"/>
        </w:rPr>
        <w:t>se eviten las áreas conocidas como rutas migratorias</w:t>
      </w:r>
      <w:r>
        <w:rPr>
          <w:rFonts w:ascii="Calibri" w:hAnsi="Calibri" w:asciiTheme="minorHAnsi" w:hAnsiTheme="minorHAnsi"/>
          <w:b/>
          <w:i/>
          <w:sz w:val="20"/>
          <w:szCs w:val="20"/>
        </w:rPr>
        <w:t xml:space="preserve">; en el caso de las plantas fotovoltaicas, se eviten las áreas de distribución conocida de las </w:t>
      </w:r>
      <w:r>
        <w:rPr>
          <w:rFonts w:ascii="Calibri" w:hAnsi="Calibri" w:asciiTheme="minorHAnsi" w:hAnsiTheme="minorHAnsi"/>
          <w:b/>
          <w:i/>
          <w:sz w:val="20"/>
          <w:szCs w:val="20"/>
          <w:u w:val="single"/>
        </w:rPr>
        <w:t>especies esteparias catalogadas</w:t>
      </w:r>
      <w:r>
        <w:rPr>
          <w:rFonts w:ascii="Calibri" w:hAnsi="Calibri" w:asciiTheme="minorHAnsi" w:hAnsiTheme="minorHAnsi"/>
          <w:b/>
          <w:i/>
          <w:sz w:val="20"/>
          <w:szCs w:val="20"/>
        </w:rPr>
        <w:t>.</w:t>
      </w:r>
    </w:p>
    <w:p>
      <w:pPr>
        <w:pStyle w:val="NormalWeb"/>
        <w:shd w:val="clear" w:color="auto" w:fill="FFFFFF"/>
        <w:spacing w:beforeAutospacing="0" w:before="0" w:afterAutospacing="0" w:after="0"/>
        <w:ind w:left="708" w:hanging="0"/>
        <w:jc w:val="both"/>
        <w:rPr>
          <w:rFonts w:ascii="Calibri" w:hAnsi="Calibri" w:eastAsia="Calibri" w:cs="OBIPG C+ Century Schoolbook" w:asciiTheme="minorHAnsi" w:eastAsiaTheme="minorHAnsi" w:hAnsiTheme="minorHAnsi"/>
          <w:i/>
          <w:i/>
          <w:sz w:val="8"/>
          <w:szCs w:val="8"/>
          <w:lang w:eastAsia="en-US"/>
        </w:rPr>
      </w:pPr>
      <w:r>
        <w:rPr>
          <w:rFonts w:eastAsia="Calibri" w:cs="OBIPG C+ Century Schoolbook" w:eastAsiaTheme="minorHAnsi" w:ascii="Calibri" w:hAnsi="Calibri"/>
          <w:i/>
          <w:sz w:val="8"/>
          <w:szCs w:val="8"/>
          <w:lang w:eastAsia="en-US"/>
        </w:rPr>
      </w:r>
    </w:p>
    <w:p>
      <w:pPr>
        <w:pStyle w:val="NormalWeb"/>
        <w:shd w:val="clear" w:color="auto" w:fill="FFFFFF"/>
        <w:spacing w:beforeAutospacing="0" w:before="0" w:afterAutospacing="0" w:after="0"/>
        <w:ind w:left="708" w:hanging="0"/>
        <w:jc w:val="both"/>
        <w:rPr>
          <w:rFonts w:ascii="Calibri" w:hAnsi="Calibri" w:asciiTheme="minorHAnsi" w:hAnsiTheme="minorHAnsi"/>
          <w:b/>
          <w:b/>
          <w:i/>
          <w:i/>
          <w:sz w:val="20"/>
          <w:szCs w:val="20"/>
        </w:rPr>
      </w:pPr>
      <w:r>
        <w:rPr>
          <w:rFonts w:eastAsia="Calibri" w:cs="OBIPG C+ Century Schoolbook" w:ascii="OBIPG C+ Century Schoolbook" w:hAnsi="OBIPG C+ Century Schoolbook" w:eastAsiaTheme="minorHAnsi"/>
          <w:i/>
          <w:lang w:eastAsia="en-US"/>
        </w:rPr>
        <w:t xml:space="preserve">- </w:t>
      </w:r>
      <w:r>
        <w:rPr>
          <w:rFonts w:ascii="Calibri" w:hAnsi="Calibri" w:asciiTheme="minorHAnsi" w:hAnsiTheme="minorHAnsi"/>
          <w:b/>
          <w:i/>
          <w:sz w:val="20"/>
          <w:szCs w:val="20"/>
        </w:rPr>
        <w:t xml:space="preserve">Se velará por la </w:t>
      </w:r>
      <w:r>
        <w:rPr>
          <w:rFonts w:ascii="Calibri" w:hAnsi="Calibri" w:asciiTheme="minorHAnsi" w:hAnsiTheme="minorHAnsi"/>
          <w:b/>
          <w:i/>
          <w:sz w:val="20"/>
          <w:szCs w:val="20"/>
          <w:u w:val="single"/>
        </w:rPr>
        <w:t>conservación y mejora de los hábitats localizados fuera de los espacios de la Red Natura 2000</w:t>
      </w:r>
      <w:r>
        <w:rPr>
          <w:rFonts w:ascii="Calibri" w:hAnsi="Calibri" w:asciiTheme="minorHAnsi" w:hAnsiTheme="minorHAnsi"/>
          <w:b/>
          <w:i/>
          <w:sz w:val="20"/>
          <w:szCs w:val="20"/>
        </w:rPr>
        <w:t>, especialmente los lugares que ostenten una población relevante de especies de la avifauna, de acuerdo con el artículo 4.4 de la Directiva 2009/147/CE del Parlamento Europeo y del Consejo, de 30 de noviembre de 2009 relativa a la conservación de las aves silvestres (Directiva Aves). En este sentido, el artículo 46 (Medidas de Conservación de la red Natura 2000) de la Ley 42/2007, en su apartado 3 lo hace extensible a los hábitats en general fuera de los espacios Red Natura.</w:t>
      </w:r>
    </w:p>
    <w:p>
      <w:pPr>
        <w:pStyle w:val="Pa7"/>
        <w:spacing w:lineRule="auto" w:line="240"/>
        <w:ind w:left="708" w:hanging="0"/>
        <w:jc w:val="both"/>
        <w:rPr>
          <w:rFonts w:ascii="Calibri" w:hAnsi="Calibri" w:asciiTheme="minorHAnsi" w:hAnsiTheme="minorHAnsi"/>
          <w:b/>
          <w:b/>
          <w:i/>
          <w:i/>
          <w:sz w:val="8"/>
          <w:szCs w:val="8"/>
        </w:rPr>
      </w:pPr>
      <w:r>
        <w:rPr>
          <w:rFonts w:asciiTheme="minorHAnsi" w:hAnsiTheme="minorHAnsi" w:ascii="Calibri" w:hAnsi="Calibri"/>
          <w:b/>
          <w:i/>
          <w:sz w:val="8"/>
          <w:szCs w:val="8"/>
        </w:rPr>
      </w:r>
    </w:p>
    <w:p>
      <w:pPr>
        <w:pStyle w:val="Pa7"/>
        <w:spacing w:lineRule="auto" w:line="240"/>
        <w:ind w:left="708" w:hanging="0"/>
        <w:jc w:val="both"/>
        <w:rPr>
          <w:rFonts w:ascii="Calibri" w:hAnsi="Calibri" w:asciiTheme="minorHAnsi" w:hAnsiTheme="minorHAnsi"/>
          <w:b/>
          <w:b/>
          <w:i/>
          <w:i/>
          <w:sz w:val="20"/>
          <w:szCs w:val="20"/>
        </w:rPr>
      </w:pPr>
      <w:r>
        <w:rPr>
          <w:rFonts w:ascii="Calibri" w:hAnsi="Calibri" w:asciiTheme="minorHAnsi" w:hAnsiTheme="minorHAnsi"/>
          <w:b/>
          <w:i/>
          <w:sz w:val="20"/>
          <w:szCs w:val="20"/>
        </w:rPr>
        <w:t xml:space="preserve">- Se deberá </w:t>
      </w:r>
      <w:r>
        <w:rPr>
          <w:rFonts w:ascii="Calibri" w:hAnsi="Calibri" w:asciiTheme="minorHAnsi" w:hAnsiTheme="minorHAnsi"/>
          <w:b/>
          <w:i/>
          <w:sz w:val="20"/>
          <w:szCs w:val="20"/>
          <w:u w:val="single"/>
        </w:rPr>
        <w:t>garantizar la conectividad ecológica</w:t>
      </w:r>
      <w:r>
        <w:rPr>
          <w:rFonts w:ascii="Calibri" w:hAnsi="Calibri" w:asciiTheme="minorHAnsi" w:hAnsiTheme="minorHAnsi"/>
          <w:b/>
          <w:i/>
          <w:sz w:val="20"/>
          <w:szCs w:val="20"/>
        </w:rPr>
        <w:t>, limitando la fragmentación de los hábitats y las barreras en los desplazamientos y movimientos de las especies”.</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Normal"/>
        <w:spacing w:lineRule="auto" w:line="240" w:before="0" w:after="0"/>
        <w:jc w:val="both"/>
        <w:rPr>
          <w:rFonts w:cs="Arial"/>
          <w:b/>
          <w:b/>
          <w:i/>
          <w:i/>
          <w:sz w:val="20"/>
          <w:szCs w:val="20"/>
        </w:rPr>
      </w:pPr>
      <w:r>
        <w:rPr>
          <w:rFonts w:cs="Arial"/>
          <w:b/>
          <w:sz w:val="20"/>
          <w:szCs w:val="20"/>
        </w:rPr>
        <w:t xml:space="preserve">31. </w:t>
      </w:r>
      <w:r>
        <w:rPr>
          <w:rFonts w:eastAsia="Calibri"/>
          <w:b/>
          <w:sz w:val="20"/>
          <w:szCs w:val="20"/>
          <w:u w:val="single"/>
        </w:rPr>
        <w:t xml:space="preserve">EN GENERAL, PARA TODO EL CLÚSTER MAESTRAZGO, </w:t>
      </w:r>
      <w:r>
        <w:rPr>
          <w:rFonts w:cs="Arial"/>
          <w:b/>
          <w:sz w:val="20"/>
          <w:szCs w:val="20"/>
          <w:u w:val="single"/>
        </w:rPr>
        <w:t>LA EVALUACIÓN DEL PAISAJE EN EL ESTUDIO DE IMPACTO ES MUY DEFICIENTE</w:t>
      </w:r>
      <w:r>
        <w:rPr>
          <w:rFonts w:cs="Arial"/>
          <w:b/>
          <w:sz w:val="20"/>
          <w:szCs w:val="20"/>
        </w:rPr>
        <w:t xml:space="preserve"> </w:t>
      </w:r>
    </w:p>
    <w:p>
      <w:pPr>
        <w:pStyle w:val="Normal"/>
        <w:spacing w:lineRule="auto" w:line="240" w:before="0" w:after="0"/>
        <w:jc w:val="both"/>
        <w:rPr>
          <w:rFonts w:cs="Arial"/>
          <w:b/>
          <w:b/>
          <w:i/>
          <w:i/>
          <w:sz w:val="8"/>
          <w:szCs w:val="8"/>
        </w:rPr>
      </w:pPr>
      <w:r>
        <w:rPr>
          <w:rFonts w:cs="Arial"/>
          <w:b/>
          <w:i/>
          <w:sz w:val="8"/>
          <w:szCs w:val="8"/>
        </w:rPr>
      </w:r>
    </w:p>
    <w:p>
      <w:pPr>
        <w:pStyle w:val="Normal"/>
        <w:spacing w:lineRule="auto" w:line="240" w:before="0" w:after="0"/>
        <w:jc w:val="both"/>
        <w:rPr>
          <w:rFonts w:cs="Arial"/>
          <w:b/>
          <w:b/>
          <w:sz w:val="20"/>
          <w:szCs w:val="20"/>
        </w:rPr>
      </w:pPr>
      <w:r>
        <w:rPr>
          <w:rFonts w:cs="Arial"/>
          <w:b/>
          <w:sz w:val="20"/>
          <w:szCs w:val="20"/>
        </w:rPr>
        <w:t>31.1. El impacto paisajístico es severo. Así se dice en el</w:t>
      </w:r>
      <w:r>
        <w:rPr>
          <w:rFonts w:cs="Arial"/>
          <w:b/>
          <w:i/>
          <w:sz w:val="20"/>
          <w:szCs w:val="20"/>
        </w:rPr>
        <w:t xml:space="preserve"> </w:t>
      </w:r>
      <w:r>
        <w:rPr>
          <w:rFonts w:cs="Arial"/>
          <w:b/>
          <w:sz w:val="20"/>
          <w:szCs w:val="20"/>
        </w:rPr>
        <w:t xml:space="preserve">Estudio de Impacto Ambiental de las Plantas fotovoltaicas en su página 373: </w:t>
      </w:r>
    </w:p>
    <w:p>
      <w:pPr>
        <w:pStyle w:val="Normal"/>
        <w:spacing w:lineRule="auto" w:line="240" w:before="0" w:after="0"/>
        <w:jc w:val="both"/>
        <w:rPr>
          <w:rFonts w:cs="Arial"/>
          <w:b/>
          <w:b/>
          <w:sz w:val="8"/>
          <w:szCs w:val="8"/>
        </w:rPr>
      </w:pPr>
      <w:r>
        <w:rPr>
          <w:rFonts w:cs="Arial"/>
          <w:b/>
          <w:sz w:val="8"/>
          <w:szCs w:val="8"/>
        </w:rPr>
      </w:r>
    </w:p>
    <w:p>
      <w:pPr>
        <w:pStyle w:val="NormalWeb"/>
        <w:shd w:val="clear" w:color="auto" w:fill="FFFFFF"/>
        <w:spacing w:beforeAutospacing="0" w:before="0" w:afterAutospacing="0" w:after="0"/>
        <w:ind w:left="708" w:hanging="0"/>
        <w:jc w:val="both"/>
        <w:rPr>
          <w:rFonts w:ascii="Calibri" w:hAnsi="Calibri" w:cs="Arial" w:asciiTheme="minorHAnsi" w:hAnsiTheme="minorHAnsi"/>
          <w:b/>
          <w:b/>
          <w:i/>
          <w:i/>
          <w:sz w:val="20"/>
          <w:szCs w:val="20"/>
        </w:rPr>
      </w:pPr>
      <w:r>
        <w:rPr>
          <w:rFonts w:cs="Arial" w:ascii="Calibri" w:hAnsi="Calibri" w:asciiTheme="minorHAnsi" w:hAnsiTheme="minorHAnsi"/>
          <w:b/>
          <w:i/>
          <w:sz w:val="20"/>
          <w:szCs w:val="20"/>
        </w:rPr>
        <w:t>“</w:t>
      </w:r>
      <w:r>
        <w:rPr>
          <w:rFonts w:cs="Arial" w:ascii="Calibri" w:hAnsi="Calibri" w:asciiTheme="minorHAnsi" w:hAnsiTheme="minorHAnsi"/>
          <w:b/>
          <w:i/>
          <w:sz w:val="20"/>
          <w:szCs w:val="20"/>
        </w:rPr>
        <w:t xml:space="preserve">En fase de explotación la presencia del proyecto modifica el paisaje. El impacto visual que genera solo podrá recuperarse cuando finalice la vida útil del proyecto, momento en el que las plantas fotovoltaicas y la línea de evacuación podrán ser desmanteladas y el área restaurada. La distancia desde Mosqueruela (principal punto de observación) al punto más cercano de las plantas fotovoltaicas es de unos 3,4 km. El proyecto es visible desde la mayor parte del núcleo, siendo visible mayoritariamente entre un 30 y un 50% de la superficie ocupada por las plantas, cuya área total es de unas 135 ha. Dada la alta visibilidad existente desde el núcleo, considerado conjunto histórico, </w:t>
      </w:r>
      <w:r>
        <w:rPr>
          <w:rFonts w:cs="Arial" w:ascii="Calibri" w:hAnsi="Calibri" w:asciiTheme="minorHAnsi" w:hAnsiTheme="minorHAnsi"/>
          <w:b/>
          <w:i/>
          <w:sz w:val="20"/>
          <w:szCs w:val="20"/>
          <w:u w:val="single"/>
        </w:rPr>
        <w:t>el impacto se considera severo. Por ello, se recomienda realizar en dicho núcleo un análisis de la valoración social</w:t>
      </w:r>
      <w:r>
        <w:rPr>
          <w:rFonts w:cs="Arial" w:ascii="Calibri" w:hAnsi="Calibri" w:asciiTheme="minorHAnsi" w:hAnsiTheme="minorHAnsi"/>
          <w:b/>
          <w:i/>
          <w:sz w:val="20"/>
          <w:szCs w:val="20"/>
        </w:rPr>
        <w:t>”</w:t>
      </w:r>
    </w:p>
    <w:p>
      <w:pPr>
        <w:pStyle w:val="Normal"/>
        <w:spacing w:lineRule="auto" w:line="240" w:before="0" w:after="0"/>
        <w:jc w:val="both"/>
        <w:rPr>
          <w:rFonts w:cs="Arial"/>
          <w:b/>
          <w:b/>
          <w:i/>
          <w:i/>
          <w:sz w:val="20"/>
          <w:szCs w:val="20"/>
        </w:rPr>
      </w:pPr>
      <w:r>
        <w:rPr>
          <w:rFonts w:cs="Arial"/>
          <w:b/>
          <w:i/>
          <w:sz w:val="20"/>
          <w:szCs w:val="20"/>
        </w:rPr>
      </w:r>
    </w:p>
    <w:p>
      <w:pPr>
        <w:pStyle w:val="Normal"/>
        <w:spacing w:lineRule="auto" w:line="240" w:before="0" w:after="0"/>
        <w:jc w:val="both"/>
        <w:rPr>
          <w:rFonts w:cs="Arial"/>
          <w:b/>
          <w:b/>
          <w:sz w:val="20"/>
          <w:szCs w:val="20"/>
        </w:rPr>
      </w:pPr>
      <w:r>
        <w:rPr>
          <w:rFonts w:cs="Arial"/>
          <w:b/>
          <w:sz w:val="20"/>
          <w:szCs w:val="20"/>
        </w:rPr>
        <w:t>31.2. Dice la DIA:</w:t>
      </w:r>
    </w:p>
    <w:p>
      <w:pPr>
        <w:pStyle w:val="Normal"/>
        <w:spacing w:lineRule="auto" w:line="240" w:before="0" w:after="0"/>
        <w:jc w:val="both"/>
        <w:rPr>
          <w:rFonts w:cs="Arial"/>
          <w:b/>
          <w:b/>
          <w:sz w:val="8"/>
          <w:szCs w:val="8"/>
        </w:rPr>
      </w:pPr>
      <w:r>
        <w:rPr>
          <w:rFonts w:cs="Arial"/>
          <w:b/>
          <w:sz w:val="8"/>
          <w:szCs w:val="8"/>
        </w:rPr>
      </w:r>
    </w:p>
    <w:p>
      <w:pPr>
        <w:pStyle w:val="Normal"/>
        <w:spacing w:lineRule="auto" w:line="240" w:before="0" w:after="0"/>
        <w:ind w:left="708" w:hanging="0"/>
        <w:jc w:val="both"/>
        <w:rPr>
          <w:b/>
          <w:b/>
          <w:i/>
          <w:i/>
          <w:sz w:val="20"/>
          <w:szCs w:val="20"/>
        </w:rPr>
      </w:pPr>
      <w:r>
        <w:rPr>
          <w:b/>
          <w:i/>
          <w:sz w:val="20"/>
          <w:szCs w:val="20"/>
        </w:rPr>
        <w:t>“</w:t>
      </w:r>
      <w:r>
        <w:rPr>
          <w:b/>
          <w:i/>
          <w:sz w:val="20"/>
          <w:szCs w:val="20"/>
        </w:rPr>
        <w:t>En el EsIA, inicialmente, se analizó una envolvente de 10 km en torno a los aerogeneradores, equivalente a un total de 180.978 ha, calculando la cuenca visual y cuantificando la visibilidad desde los núcleos de población, zonas de interés y cada aerogenerador. El análisis se realizó sobre un Modelo Digital del Terreno (MDT) con paso de malla de 25 m, considerando una altura de aerogenerador de 181 m, equivalente a un 90% del total”</w:t>
      </w:r>
    </w:p>
    <w:p>
      <w:pPr>
        <w:pStyle w:val="Normal"/>
        <w:spacing w:lineRule="auto" w:line="240" w:before="0" w:after="0"/>
        <w:jc w:val="both"/>
        <w:rPr>
          <w:rFonts w:cs="Arial"/>
          <w:b/>
          <w:b/>
          <w:i/>
          <w:i/>
          <w:sz w:val="20"/>
          <w:szCs w:val="20"/>
        </w:rPr>
      </w:pPr>
      <w:r>
        <w:rPr>
          <w:rFonts w:cs="Arial"/>
          <w:b/>
          <w:i/>
          <w:sz w:val="20"/>
          <w:szCs w:val="20"/>
        </w:rPr>
      </w:r>
    </w:p>
    <w:p>
      <w:pPr>
        <w:pStyle w:val="Normal"/>
        <w:spacing w:lineRule="auto" w:line="240" w:before="0" w:after="0"/>
        <w:jc w:val="both"/>
        <w:rPr>
          <w:rFonts w:cs="Arial"/>
          <w:b/>
          <w:b/>
          <w:sz w:val="20"/>
          <w:szCs w:val="20"/>
        </w:rPr>
      </w:pPr>
      <w:r>
        <w:rPr>
          <w:rFonts w:cs="Arial"/>
          <w:b/>
          <w:sz w:val="20"/>
          <w:szCs w:val="20"/>
        </w:rPr>
        <w:t>Pero no solo está mal que el promotor haya realizado un mal estudio del paisaje, sino que el Órgano ambiental haya admitido este estudio como válido.</w:t>
      </w:r>
    </w:p>
    <w:p>
      <w:pPr>
        <w:pStyle w:val="Normal"/>
        <w:spacing w:lineRule="auto" w:line="240" w:before="0" w:after="0"/>
        <w:jc w:val="both"/>
        <w:rPr>
          <w:rFonts w:cs="Arial"/>
          <w:b/>
          <w:b/>
          <w:i/>
          <w:i/>
          <w:sz w:val="20"/>
          <w:szCs w:val="20"/>
        </w:rPr>
      </w:pPr>
      <w:r>
        <w:rPr>
          <w:rFonts w:cs="Arial"/>
          <w:b/>
          <w:i/>
          <w:sz w:val="20"/>
          <w:szCs w:val="20"/>
        </w:rPr>
      </w:r>
    </w:p>
    <w:p>
      <w:pPr>
        <w:pStyle w:val="Normal"/>
        <w:spacing w:lineRule="auto" w:line="240" w:before="0" w:after="0"/>
        <w:jc w:val="both"/>
        <w:rPr>
          <w:rFonts w:cs="Arial"/>
          <w:b/>
          <w:b/>
          <w:sz w:val="20"/>
          <w:szCs w:val="20"/>
        </w:rPr>
      </w:pPr>
      <w:r>
        <w:rPr>
          <w:rFonts w:cs="Arial"/>
          <w:b/>
          <w:sz w:val="20"/>
          <w:szCs w:val="20"/>
        </w:rPr>
        <w:t xml:space="preserve">31.3. El valor del paisaje es muy alto. Dice la DIA: </w:t>
      </w:r>
    </w:p>
    <w:p>
      <w:pPr>
        <w:pStyle w:val="Normal"/>
        <w:spacing w:lineRule="auto" w:line="240" w:before="0" w:after="0"/>
        <w:jc w:val="both"/>
        <w:rPr>
          <w:rFonts w:cs="Arial"/>
          <w:b/>
          <w:b/>
          <w:i/>
          <w:i/>
          <w:sz w:val="8"/>
          <w:szCs w:val="8"/>
        </w:rPr>
      </w:pPr>
      <w:r>
        <w:rPr>
          <w:rFonts w:cs="Arial"/>
          <w:b/>
          <w:i/>
          <w:sz w:val="8"/>
          <w:szCs w:val="8"/>
        </w:rPr>
      </w:r>
    </w:p>
    <w:p>
      <w:pPr>
        <w:pStyle w:val="Normal"/>
        <w:spacing w:lineRule="auto" w:line="240" w:before="0" w:after="0"/>
        <w:ind w:left="708" w:hanging="0"/>
        <w:jc w:val="both"/>
        <w:rPr>
          <w:b/>
          <w:b/>
          <w:i/>
          <w:i/>
          <w:sz w:val="20"/>
          <w:szCs w:val="20"/>
        </w:rPr>
      </w:pPr>
      <w:r>
        <w:rPr>
          <w:b/>
          <w:i/>
          <w:sz w:val="20"/>
          <w:szCs w:val="20"/>
        </w:rPr>
        <w:t>“</w:t>
      </w:r>
      <w:r>
        <w:rPr>
          <w:b/>
          <w:i/>
          <w:sz w:val="20"/>
          <w:szCs w:val="20"/>
        </w:rPr>
        <w:t>En cuanto a la calidad y fragilidad de las áreas visibles, el inventario ambiental consideró una envolvente de 2 km en torno a los diferentes elementos del proyecto. Las unidades de paisaje con valor de calidad 6/10 son las que presentan mayor superficie con visibilidad (30%). Con respecto a la fragilidad, presentan mayor superficie con visibilidad las unidades de paisaje con valor 4/5 (29%)”.</w:t>
      </w:r>
    </w:p>
    <w:p>
      <w:pPr>
        <w:pStyle w:val="Normal"/>
        <w:spacing w:lineRule="auto" w:line="240" w:before="0" w:after="0"/>
        <w:jc w:val="both"/>
        <w:rPr>
          <w:rFonts w:cs="Arial"/>
          <w:b/>
          <w:b/>
          <w:i/>
          <w:i/>
          <w:sz w:val="20"/>
          <w:szCs w:val="20"/>
        </w:rPr>
      </w:pPr>
      <w:r>
        <w:rPr>
          <w:rFonts w:cs="Arial"/>
          <w:b/>
          <w:i/>
          <w:sz w:val="20"/>
          <w:szCs w:val="20"/>
        </w:rPr>
      </w:r>
    </w:p>
    <w:p>
      <w:pPr>
        <w:pStyle w:val="Normal"/>
        <w:spacing w:lineRule="auto" w:line="240" w:before="0" w:after="0"/>
        <w:jc w:val="both"/>
        <w:rPr>
          <w:rFonts w:cs="Arial"/>
          <w:b/>
          <w:b/>
          <w:sz w:val="20"/>
          <w:szCs w:val="20"/>
        </w:rPr>
      </w:pPr>
      <w:r>
        <w:rPr>
          <w:rFonts w:cs="Arial"/>
          <w:b/>
          <w:sz w:val="20"/>
          <w:szCs w:val="20"/>
        </w:rPr>
        <w:t>Hay que advertir que la calidad se mide de 1 a 10 y la fragilidad de 1 a 5.</w:t>
      </w:r>
    </w:p>
    <w:p>
      <w:pPr>
        <w:pStyle w:val="Normal"/>
        <w:spacing w:lineRule="auto" w:line="240" w:before="0" w:after="0"/>
        <w:jc w:val="both"/>
        <w:rPr>
          <w:rFonts w:cs="Arial"/>
          <w:b/>
          <w:b/>
          <w:sz w:val="20"/>
          <w:szCs w:val="20"/>
        </w:rPr>
      </w:pPr>
      <w:r>
        <w:rPr>
          <w:rFonts w:cs="Arial"/>
          <w:b/>
          <w:sz w:val="20"/>
          <w:szCs w:val="20"/>
        </w:rPr>
      </w:r>
    </w:p>
    <w:p>
      <w:pPr>
        <w:pStyle w:val="Normal"/>
        <w:spacing w:lineRule="auto" w:line="240" w:before="0" w:after="0"/>
        <w:jc w:val="both"/>
        <w:rPr>
          <w:rFonts w:cs="Arial"/>
          <w:b/>
          <w:b/>
          <w:sz w:val="20"/>
          <w:szCs w:val="20"/>
        </w:rPr>
      </w:pPr>
      <w:r>
        <w:rPr>
          <w:rFonts w:cs="Arial"/>
          <w:b/>
          <w:sz w:val="20"/>
          <w:szCs w:val="20"/>
        </w:rPr>
        <w:t>31.4. Los datos reales de calidad y fragilidad son superiores a los que se recogen en la Declaración de impacto:</w:t>
      </w:r>
    </w:p>
    <w:p>
      <w:pPr>
        <w:pStyle w:val="Normal"/>
        <w:spacing w:lineRule="auto" w:line="240" w:before="0" w:after="0"/>
        <w:jc w:val="both"/>
        <w:rPr>
          <w:rFonts w:cs="Arial"/>
          <w:b/>
          <w:b/>
          <w:sz w:val="20"/>
          <w:szCs w:val="20"/>
        </w:rPr>
      </w:pPr>
      <w:r>
        <w:rPr>
          <w:rFonts w:cs="Arial"/>
          <w:b/>
          <w:sz w:val="20"/>
          <w:szCs w:val="20"/>
        </w:rPr>
      </w:r>
    </w:p>
    <w:tbl>
      <w:tblPr>
        <w:tblStyle w:val="Tablaconcuadrcula"/>
        <w:tblW w:w="3936" w:type="dxa"/>
        <w:jc w:val="left"/>
        <w:tblInd w:w="708" w:type="dxa"/>
        <w:tblLayout w:type="fixed"/>
        <w:tblCellMar>
          <w:top w:w="0" w:type="dxa"/>
          <w:left w:w="108" w:type="dxa"/>
          <w:bottom w:w="0" w:type="dxa"/>
          <w:right w:w="108" w:type="dxa"/>
        </w:tblCellMar>
        <w:tblLook w:val="04a0"/>
      </w:tblPr>
      <w:tblGrid>
        <w:gridCol w:w="1668"/>
        <w:gridCol w:w="991"/>
        <w:gridCol w:w="1277"/>
      </w:tblGrid>
      <w:tr>
        <w:trPr/>
        <w:tc>
          <w:tcPr>
            <w:tcW w:w="1668" w:type="dxa"/>
            <w:tcBorders/>
          </w:tcPr>
          <w:p>
            <w:pPr>
              <w:pStyle w:val="Normal"/>
              <w:widowControl/>
              <w:spacing w:lineRule="auto" w:line="240" w:before="0" w:after="0"/>
              <w:jc w:val="both"/>
              <w:rPr>
                <w:rFonts w:cs="Arial"/>
                <w:b/>
                <w:b/>
                <w:sz w:val="20"/>
                <w:szCs w:val="20"/>
              </w:rPr>
            </w:pPr>
            <w:r>
              <w:rPr>
                <w:rFonts w:eastAsia="Calibri" w:cs="Arial"/>
                <w:b/>
                <w:kern w:val="0"/>
                <w:sz w:val="20"/>
                <w:szCs w:val="20"/>
                <w:lang w:val="es-ES" w:eastAsia="en-US" w:bidi="ar-SA"/>
              </w:rPr>
            </w:r>
          </w:p>
        </w:tc>
        <w:tc>
          <w:tcPr>
            <w:tcW w:w="991" w:type="dxa"/>
            <w:tcBorders/>
          </w:tcPr>
          <w:p>
            <w:pPr>
              <w:pStyle w:val="Normal"/>
              <w:widowControl/>
              <w:spacing w:lineRule="auto" w:line="240" w:before="0" w:after="0"/>
              <w:jc w:val="both"/>
              <w:rPr>
                <w:rFonts w:cs="Arial"/>
                <w:b/>
                <w:b/>
                <w:sz w:val="20"/>
                <w:szCs w:val="20"/>
              </w:rPr>
            </w:pPr>
            <w:r>
              <w:rPr>
                <w:rFonts w:eastAsia="Calibri" w:cs="Arial"/>
                <w:b/>
                <w:kern w:val="0"/>
                <w:sz w:val="20"/>
                <w:szCs w:val="20"/>
                <w:lang w:val="es-ES" w:eastAsia="en-US" w:bidi="ar-SA"/>
              </w:rPr>
              <w:t>CALIDAD</w:t>
            </w:r>
          </w:p>
        </w:tc>
        <w:tc>
          <w:tcPr>
            <w:tcW w:w="1277" w:type="dxa"/>
            <w:tcBorders/>
          </w:tcPr>
          <w:p>
            <w:pPr>
              <w:pStyle w:val="Normal"/>
              <w:widowControl/>
              <w:spacing w:lineRule="auto" w:line="240" w:before="0" w:after="0"/>
              <w:jc w:val="both"/>
              <w:rPr>
                <w:rFonts w:cs="Arial"/>
                <w:b/>
                <w:b/>
                <w:sz w:val="20"/>
                <w:szCs w:val="20"/>
              </w:rPr>
            </w:pPr>
            <w:r>
              <w:rPr>
                <w:rFonts w:eastAsia="Calibri" w:cs="Arial"/>
                <w:b/>
                <w:kern w:val="0"/>
                <w:sz w:val="20"/>
                <w:szCs w:val="20"/>
                <w:lang w:val="es-ES" w:eastAsia="en-US" w:bidi="ar-SA"/>
              </w:rPr>
              <w:t>FRAGILIDAD</w:t>
            </w:r>
          </w:p>
        </w:tc>
      </w:tr>
      <w:tr>
        <w:trPr/>
        <w:tc>
          <w:tcPr>
            <w:tcW w:w="1668" w:type="dxa"/>
            <w:tcBorders/>
          </w:tcPr>
          <w:p>
            <w:pPr>
              <w:pStyle w:val="Normal"/>
              <w:widowControl/>
              <w:spacing w:lineRule="auto" w:line="240" w:before="0" w:after="0"/>
              <w:jc w:val="both"/>
              <w:rPr>
                <w:rFonts w:cs="Arial"/>
                <w:b/>
                <w:b/>
                <w:sz w:val="20"/>
                <w:szCs w:val="20"/>
              </w:rPr>
            </w:pPr>
            <w:r>
              <w:rPr>
                <w:rFonts w:eastAsia="Calibri" w:cs="Arial"/>
                <w:b/>
                <w:kern w:val="0"/>
                <w:sz w:val="20"/>
                <w:szCs w:val="20"/>
                <w:lang w:val="es-ES" w:eastAsia="en-US" w:bidi="ar-SA"/>
              </w:rPr>
              <w:t>Cid 1</w:t>
            </w:r>
          </w:p>
        </w:tc>
        <w:tc>
          <w:tcPr>
            <w:tcW w:w="991" w:type="dxa"/>
            <w:tcBorders/>
          </w:tcPr>
          <w:p>
            <w:pPr>
              <w:pStyle w:val="Normal"/>
              <w:widowControl/>
              <w:spacing w:lineRule="auto" w:line="240" w:before="0" w:after="0"/>
              <w:jc w:val="both"/>
              <w:rPr>
                <w:rFonts w:cs="Arial"/>
                <w:b/>
                <w:b/>
                <w:sz w:val="20"/>
                <w:szCs w:val="20"/>
              </w:rPr>
            </w:pPr>
            <w:r>
              <w:rPr>
                <w:rFonts w:eastAsia="Calibri" w:cs="Arial"/>
                <w:b/>
                <w:kern w:val="0"/>
                <w:sz w:val="20"/>
                <w:szCs w:val="20"/>
                <w:lang w:val="es-ES" w:eastAsia="en-US" w:bidi="ar-SA"/>
              </w:rPr>
              <w:t>7-5</w:t>
            </w:r>
          </w:p>
        </w:tc>
        <w:tc>
          <w:tcPr>
            <w:tcW w:w="1277" w:type="dxa"/>
            <w:tcBorders/>
          </w:tcPr>
          <w:p>
            <w:pPr>
              <w:pStyle w:val="Normal"/>
              <w:widowControl/>
              <w:spacing w:lineRule="auto" w:line="240" w:before="0" w:after="0"/>
              <w:jc w:val="both"/>
              <w:rPr>
                <w:rFonts w:cs="Arial"/>
                <w:b/>
                <w:b/>
                <w:sz w:val="20"/>
                <w:szCs w:val="20"/>
              </w:rPr>
            </w:pPr>
            <w:r>
              <w:rPr>
                <w:rFonts w:eastAsia="Calibri" w:cs="Arial"/>
                <w:b/>
                <w:kern w:val="0"/>
                <w:sz w:val="20"/>
                <w:szCs w:val="20"/>
                <w:lang w:val="es-ES" w:eastAsia="en-US" w:bidi="ar-SA"/>
              </w:rPr>
              <w:t>5-4</w:t>
            </w:r>
          </w:p>
        </w:tc>
      </w:tr>
      <w:tr>
        <w:trPr/>
        <w:tc>
          <w:tcPr>
            <w:tcW w:w="1668" w:type="dxa"/>
            <w:tcBorders/>
          </w:tcPr>
          <w:p>
            <w:pPr>
              <w:pStyle w:val="Normal"/>
              <w:widowControl/>
              <w:spacing w:lineRule="auto" w:line="240" w:before="0" w:after="0"/>
              <w:jc w:val="both"/>
              <w:rPr>
                <w:rFonts w:cs="Arial"/>
                <w:b/>
                <w:b/>
                <w:sz w:val="20"/>
                <w:szCs w:val="20"/>
              </w:rPr>
            </w:pPr>
            <w:r>
              <w:rPr>
                <w:rFonts w:eastAsia="Calibri" w:cs="Arial"/>
                <w:b/>
                <w:kern w:val="0"/>
                <w:sz w:val="20"/>
                <w:szCs w:val="20"/>
                <w:lang w:val="es-ES" w:eastAsia="en-US" w:bidi="ar-SA"/>
              </w:rPr>
              <w:t>Cid 2</w:t>
            </w:r>
          </w:p>
        </w:tc>
        <w:tc>
          <w:tcPr>
            <w:tcW w:w="991" w:type="dxa"/>
            <w:tcBorders/>
          </w:tcPr>
          <w:p>
            <w:pPr>
              <w:pStyle w:val="Normal"/>
              <w:widowControl/>
              <w:spacing w:lineRule="auto" w:line="240" w:before="0" w:after="0"/>
              <w:jc w:val="both"/>
              <w:rPr>
                <w:rFonts w:cs="Arial"/>
                <w:b/>
                <w:b/>
                <w:sz w:val="20"/>
                <w:szCs w:val="20"/>
              </w:rPr>
            </w:pPr>
            <w:r>
              <w:rPr>
                <w:rFonts w:eastAsia="Calibri" w:cs="Arial"/>
                <w:b/>
                <w:kern w:val="0"/>
                <w:sz w:val="20"/>
                <w:szCs w:val="20"/>
                <w:lang w:val="es-ES" w:eastAsia="en-US" w:bidi="ar-SA"/>
              </w:rPr>
              <w:t>6-5</w:t>
            </w:r>
          </w:p>
        </w:tc>
        <w:tc>
          <w:tcPr>
            <w:tcW w:w="1277" w:type="dxa"/>
            <w:tcBorders/>
          </w:tcPr>
          <w:p>
            <w:pPr>
              <w:pStyle w:val="Normal"/>
              <w:widowControl/>
              <w:spacing w:lineRule="auto" w:line="240" w:before="0" w:after="0"/>
              <w:jc w:val="both"/>
              <w:rPr>
                <w:rFonts w:cs="Arial"/>
                <w:b/>
                <w:b/>
                <w:sz w:val="20"/>
                <w:szCs w:val="20"/>
              </w:rPr>
            </w:pPr>
            <w:r>
              <w:rPr>
                <w:rFonts w:eastAsia="Calibri" w:cs="Arial"/>
                <w:b/>
                <w:kern w:val="0"/>
                <w:sz w:val="20"/>
                <w:szCs w:val="20"/>
                <w:lang w:val="es-ES" w:eastAsia="en-US" w:bidi="ar-SA"/>
              </w:rPr>
              <w:t>4</w:t>
            </w:r>
          </w:p>
        </w:tc>
      </w:tr>
      <w:tr>
        <w:trPr/>
        <w:tc>
          <w:tcPr>
            <w:tcW w:w="1668" w:type="dxa"/>
            <w:tcBorders/>
          </w:tcPr>
          <w:p>
            <w:pPr>
              <w:pStyle w:val="Normal"/>
              <w:widowControl/>
              <w:spacing w:lineRule="auto" w:line="240" w:before="0" w:after="0"/>
              <w:jc w:val="both"/>
              <w:rPr>
                <w:rFonts w:cs="Arial"/>
                <w:b/>
                <w:b/>
                <w:sz w:val="20"/>
                <w:szCs w:val="20"/>
              </w:rPr>
            </w:pPr>
            <w:r>
              <w:rPr>
                <w:rFonts w:eastAsia="Calibri" w:cs="Arial"/>
                <w:b/>
                <w:kern w:val="0"/>
                <w:sz w:val="20"/>
                <w:szCs w:val="20"/>
                <w:lang w:val="es-ES" w:eastAsia="en-US" w:bidi="ar-SA"/>
              </w:rPr>
              <w:t>Cid 3</w:t>
            </w:r>
          </w:p>
        </w:tc>
        <w:tc>
          <w:tcPr>
            <w:tcW w:w="991" w:type="dxa"/>
            <w:tcBorders/>
          </w:tcPr>
          <w:p>
            <w:pPr>
              <w:pStyle w:val="Normal"/>
              <w:widowControl/>
              <w:spacing w:lineRule="auto" w:line="240" w:before="0" w:after="0"/>
              <w:jc w:val="both"/>
              <w:rPr>
                <w:rFonts w:cs="Arial"/>
                <w:b/>
                <w:b/>
                <w:sz w:val="20"/>
                <w:szCs w:val="20"/>
              </w:rPr>
            </w:pPr>
            <w:r>
              <w:rPr>
                <w:rFonts w:eastAsia="Calibri" w:cs="Arial"/>
                <w:b/>
                <w:kern w:val="0"/>
                <w:sz w:val="20"/>
                <w:szCs w:val="20"/>
                <w:lang w:val="es-ES" w:eastAsia="en-US" w:bidi="ar-SA"/>
              </w:rPr>
              <w:t>6-5</w:t>
            </w:r>
          </w:p>
        </w:tc>
        <w:tc>
          <w:tcPr>
            <w:tcW w:w="1277" w:type="dxa"/>
            <w:tcBorders/>
          </w:tcPr>
          <w:p>
            <w:pPr>
              <w:pStyle w:val="Normal"/>
              <w:widowControl/>
              <w:spacing w:lineRule="auto" w:line="240" w:before="0" w:after="0"/>
              <w:jc w:val="both"/>
              <w:rPr>
                <w:rFonts w:cs="Arial"/>
                <w:b/>
                <w:b/>
                <w:sz w:val="20"/>
                <w:szCs w:val="20"/>
              </w:rPr>
            </w:pPr>
            <w:r>
              <w:rPr>
                <w:rFonts w:eastAsia="Calibri" w:cs="Arial"/>
                <w:b/>
                <w:kern w:val="0"/>
                <w:sz w:val="20"/>
                <w:szCs w:val="20"/>
                <w:lang w:val="es-ES" w:eastAsia="en-US" w:bidi="ar-SA"/>
              </w:rPr>
              <w:t>4</w:t>
            </w:r>
          </w:p>
        </w:tc>
      </w:tr>
      <w:tr>
        <w:trPr/>
        <w:tc>
          <w:tcPr>
            <w:tcW w:w="1668" w:type="dxa"/>
            <w:tcBorders/>
          </w:tcPr>
          <w:p>
            <w:pPr>
              <w:pStyle w:val="Normal"/>
              <w:widowControl/>
              <w:spacing w:lineRule="auto" w:line="240" w:before="0" w:after="0"/>
              <w:jc w:val="both"/>
              <w:rPr>
                <w:rFonts w:cs="Arial"/>
                <w:b/>
                <w:b/>
                <w:sz w:val="20"/>
                <w:szCs w:val="20"/>
              </w:rPr>
            </w:pPr>
            <w:r>
              <w:rPr>
                <w:rFonts w:eastAsia="Calibri" w:cs="Arial"/>
                <w:b/>
                <w:kern w:val="0"/>
                <w:sz w:val="20"/>
                <w:szCs w:val="20"/>
                <w:lang w:val="es-ES" w:eastAsia="en-US" w:bidi="ar-SA"/>
              </w:rPr>
              <w:t>Cid 4</w:t>
            </w:r>
          </w:p>
        </w:tc>
        <w:tc>
          <w:tcPr>
            <w:tcW w:w="991" w:type="dxa"/>
            <w:tcBorders/>
          </w:tcPr>
          <w:p>
            <w:pPr>
              <w:pStyle w:val="Normal"/>
              <w:widowControl/>
              <w:spacing w:lineRule="auto" w:line="240" w:before="0" w:after="0"/>
              <w:jc w:val="both"/>
              <w:rPr>
                <w:rFonts w:cs="Arial"/>
                <w:b/>
                <w:b/>
                <w:sz w:val="20"/>
                <w:szCs w:val="20"/>
              </w:rPr>
            </w:pPr>
            <w:r>
              <w:rPr>
                <w:rFonts w:eastAsia="Calibri" w:cs="Arial"/>
                <w:b/>
                <w:kern w:val="0"/>
                <w:sz w:val="20"/>
                <w:szCs w:val="20"/>
                <w:lang w:val="es-ES" w:eastAsia="en-US" w:bidi="ar-SA"/>
              </w:rPr>
              <w:t>7-4</w:t>
            </w:r>
          </w:p>
        </w:tc>
        <w:tc>
          <w:tcPr>
            <w:tcW w:w="1277" w:type="dxa"/>
            <w:tcBorders/>
          </w:tcPr>
          <w:p>
            <w:pPr>
              <w:pStyle w:val="Normal"/>
              <w:widowControl/>
              <w:spacing w:lineRule="auto" w:line="240" w:before="0" w:after="0"/>
              <w:jc w:val="both"/>
              <w:rPr>
                <w:rFonts w:cs="Arial"/>
                <w:b/>
                <w:b/>
                <w:sz w:val="20"/>
                <w:szCs w:val="20"/>
              </w:rPr>
            </w:pPr>
            <w:r>
              <w:rPr>
                <w:rFonts w:eastAsia="Calibri" w:cs="Arial"/>
                <w:b/>
                <w:kern w:val="0"/>
                <w:sz w:val="20"/>
                <w:szCs w:val="20"/>
                <w:lang w:val="es-ES" w:eastAsia="en-US" w:bidi="ar-SA"/>
              </w:rPr>
              <w:t>5-3</w:t>
            </w:r>
          </w:p>
        </w:tc>
      </w:tr>
      <w:tr>
        <w:trPr/>
        <w:tc>
          <w:tcPr>
            <w:tcW w:w="1668" w:type="dxa"/>
            <w:tcBorders/>
          </w:tcPr>
          <w:p>
            <w:pPr>
              <w:pStyle w:val="Normal"/>
              <w:widowControl/>
              <w:spacing w:lineRule="auto" w:line="240" w:before="0" w:after="0"/>
              <w:jc w:val="both"/>
              <w:rPr>
                <w:rFonts w:cs="Arial"/>
                <w:b/>
                <w:b/>
                <w:sz w:val="20"/>
                <w:szCs w:val="20"/>
              </w:rPr>
            </w:pPr>
            <w:r>
              <w:rPr>
                <w:rFonts w:eastAsia="Calibri" w:cs="Arial"/>
                <w:b/>
                <w:kern w:val="0"/>
                <w:sz w:val="20"/>
                <w:szCs w:val="20"/>
                <w:lang w:val="es-ES" w:eastAsia="en-US" w:bidi="ar-SA"/>
              </w:rPr>
              <w:t>Concejo 1</w:t>
            </w:r>
          </w:p>
        </w:tc>
        <w:tc>
          <w:tcPr>
            <w:tcW w:w="991" w:type="dxa"/>
            <w:tcBorders/>
          </w:tcPr>
          <w:p>
            <w:pPr>
              <w:pStyle w:val="Normal"/>
              <w:widowControl/>
              <w:spacing w:lineRule="auto" w:line="240" w:before="0" w:after="0"/>
              <w:jc w:val="both"/>
              <w:rPr>
                <w:rFonts w:cs="Arial"/>
                <w:b/>
                <w:b/>
                <w:sz w:val="20"/>
                <w:szCs w:val="20"/>
              </w:rPr>
            </w:pPr>
            <w:r>
              <w:rPr>
                <w:rFonts w:eastAsia="Calibri" w:cs="Arial"/>
                <w:b/>
                <w:kern w:val="0"/>
                <w:sz w:val="20"/>
                <w:szCs w:val="20"/>
                <w:lang w:val="es-ES" w:eastAsia="en-US" w:bidi="ar-SA"/>
              </w:rPr>
              <w:t>8-4</w:t>
            </w:r>
          </w:p>
        </w:tc>
        <w:tc>
          <w:tcPr>
            <w:tcW w:w="1277" w:type="dxa"/>
            <w:tcBorders/>
          </w:tcPr>
          <w:p>
            <w:pPr>
              <w:pStyle w:val="Normal"/>
              <w:widowControl/>
              <w:spacing w:lineRule="auto" w:line="240" w:before="0" w:after="0"/>
              <w:jc w:val="both"/>
              <w:rPr>
                <w:rFonts w:cs="Arial"/>
                <w:b/>
                <w:b/>
                <w:sz w:val="20"/>
                <w:szCs w:val="20"/>
              </w:rPr>
            </w:pPr>
            <w:r>
              <w:rPr>
                <w:rFonts w:eastAsia="Calibri" w:cs="Arial"/>
                <w:b/>
                <w:kern w:val="0"/>
                <w:sz w:val="20"/>
                <w:szCs w:val="20"/>
                <w:lang w:val="es-ES" w:eastAsia="en-US" w:bidi="ar-SA"/>
              </w:rPr>
              <w:t>5-3</w:t>
            </w:r>
          </w:p>
        </w:tc>
      </w:tr>
      <w:tr>
        <w:trPr/>
        <w:tc>
          <w:tcPr>
            <w:tcW w:w="1668" w:type="dxa"/>
            <w:tcBorders/>
          </w:tcPr>
          <w:p>
            <w:pPr>
              <w:pStyle w:val="Normal"/>
              <w:widowControl/>
              <w:spacing w:lineRule="auto" w:line="240" w:before="0" w:after="0"/>
              <w:jc w:val="both"/>
              <w:rPr>
                <w:rFonts w:cs="Arial"/>
                <w:b/>
                <w:b/>
                <w:sz w:val="20"/>
                <w:szCs w:val="20"/>
              </w:rPr>
            </w:pPr>
            <w:r>
              <w:rPr>
                <w:rFonts w:eastAsia="Calibri" w:cs="Arial"/>
                <w:b/>
                <w:kern w:val="0"/>
                <w:sz w:val="20"/>
                <w:szCs w:val="20"/>
                <w:lang w:val="es-ES" w:eastAsia="en-US" w:bidi="ar-SA"/>
              </w:rPr>
              <w:t>Concejo 2</w:t>
            </w:r>
          </w:p>
        </w:tc>
        <w:tc>
          <w:tcPr>
            <w:tcW w:w="991" w:type="dxa"/>
            <w:tcBorders/>
          </w:tcPr>
          <w:p>
            <w:pPr>
              <w:pStyle w:val="Normal"/>
              <w:widowControl/>
              <w:spacing w:lineRule="auto" w:line="240" w:before="0" w:after="0"/>
              <w:jc w:val="both"/>
              <w:rPr>
                <w:rFonts w:cs="Arial"/>
                <w:b/>
                <w:b/>
                <w:sz w:val="20"/>
                <w:szCs w:val="20"/>
              </w:rPr>
            </w:pPr>
            <w:r>
              <w:rPr>
                <w:rFonts w:eastAsia="Calibri" w:cs="Arial"/>
                <w:b/>
                <w:kern w:val="0"/>
                <w:sz w:val="20"/>
                <w:szCs w:val="20"/>
                <w:lang w:val="es-ES" w:eastAsia="en-US" w:bidi="ar-SA"/>
              </w:rPr>
              <w:t>8-6</w:t>
            </w:r>
          </w:p>
        </w:tc>
        <w:tc>
          <w:tcPr>
            <w:tcW w:w="1277" w:type="dxa"/>
            <w:tcBorders/>
          </w:tcPr>
          <w:p>
            <w:pPr>
              <w:pStyle w:val="Normal"/>
              <w:widowControl/>
              <w:spacing w:lineRule="auto" w:line="240" w:before="0" w:after="0"/>
              <w:jc w:val="both"/>
              <w:rPr>
                <w:rFonts w:cs="Arial"/>
                <w:b/>
                <w:b/>
                <w:sz w:val="20"/>
                <w:szCs w:val="20"/>
              </w:rPr>
            </w:pPr>
            <w:r>
              <w:rPr>
                <w:rFonts w:eastAsia="Calibri" w:cs="Arial"/>
                <w:b/>
                <w:kern w:val="0"/>
                <w:sz w:val="20"/>
                <w:szCs w:val="20"/>
                <w:lang w:val="es-ES" w:eastAsia="en-US" w:bidi="ar-SA"/>
              </w:rPr>
              <w:t>5-2</w:t>
            </w:r>
          </w:p>
        </w:tc>
      </w:tr>
      <w:tr>
        <w:trPr/>
        <w:tc>
          <w:tcPr>
            <w:tcW w:w="1668" w:type="dxa"/>
            <w:tcBorders/>
          </w:tcPr>
          <w:p>
            <w:pPr>
              <w:pStyle w:val="Normal"/>
              <w:widowControl/>
              <w:spacing w:lineRule="auto" w:line="240" w:before="0" w:after="0"/>
              <w:jc w:val="both"/>
              <w:rPr>
                <w:rFonts w:cs="Arial"/>
                <w:b/>
                <w:b/>
                <w:sz w:val="20"/>
                <w:szCs w:val="20"/>
              </w:rPr>
            </w:pPr>
            <w:r>
              <w:rPr>
                <w:rFonts w:eastAsia="Calibri" w:cs="Arial"/>
                <w:b/>
                <w:kern w:val="0"/>
                <w:sz w:val="20"/>
                <w:szCs w:val="20"/>
                <w:lang w:val="es-ES" w:eastAsia="en-US" w:bidi="ar-SA"/>
              </w:rPr>
              <w:t>Concejo 3</w:t>
            </w:r>
          </w:p>
        </w:tc>
        <w:tc>
          <w:tcPr>
            <w:tcW w:w="991" w:type="dxa"/>
            <w:tcBorders/>
          </w:tcPr>
          <w:p>
            <w:pPr>
              <w:pStyle w:val="Normal"/>
              <w:widowControl/>
              <w:spacing w:lineRule="auto" w:line="240" w:before="0" w:after="0"/>
              <w:jc w:val="both"/>
              <w:rPr>
                <w:rFonts w:cs="Arial"/>
                <w:b/>
                <w:b/>
                <w:sz w:val="20"/>
                <w:szCs w:val="20"/>
              </w:rPr>
            </w:pPr>
            <w:r>
              <w:rPr>
                <w:rFonts w:eastAsia="Calibri" w:cs="Arial"/>
                <w:b/>
                <w:kern w:val="0"/>
                <w:sz w:val="20"/>
                <w:szCs w:val="20"/>
                <w:lang w:val="es-ES" w:eastAsia="en-US" w:bidi="ar-SA"/>
              </w:rPr>
              <w:t>8-6</w:t>
            </w:r>
          </w:p>
        </w:tc>
        <w:tc>
          <w:tcPr>
            <w:tcW w:w="1277" w:type="dxa"/>
            <w:tcBorders/>
          </w:tcPr>
          <w:p>
            <w:pPr>
              <w:pStyle w:val="Normal"/>
              <w:widowControl/>
              <w:spacing w:lineRule="auto" w:line="240" w:before="0" w:after="0"/>
              <w:jc w:val="both"/>
              <w:rPr>
                <w:rFonts w:cs="Arial"/>
                <w:b/>
                <w:b/>
                <w:sz w:val="20"/>
                <w:szCs w:val="20"/>
              </w:rPr>
            </w:pPr>
            <w:r>
              <w:rPr>
                <w:rFonts w:eastAsia="Calibri" w:cs="Arial"/>
                <w:b/>
                <w:kern w:val="0"/>
                <w:sz w:val="20"/>
                <w:szCs w:val="20"/>
                <w:lang w:val="es-ES" w:eastAsia="en-US" w:bidi="ar-SA"/>
              </w:rPr>
              <w:t>5-1</w:t>
            </w:r>
          </w:p>
        </w:tc>
      </w:tr>
      <w:tr>
        <w:trPr/>
        <w:tc>
          <w:tcPr>
            <w:tcW w:w="1668" w:type="dxa"/>
            <w:tcBorders/>
          </w:tcPr>
          <w:p>
            <w:pPr>
              <w:pStyle w:val="Normal"/>
              <w:widowControl/>
              <w:spacing w:lineRule="auto" w:line="240" w:before="0" w:after="0"/>
              <w:jc w:val="both"/>
              <w:rPr>
                <w:rFonts w:cs="Arial"/>
                <w:b/>
                <w:b/>
                <w:sz w:val="20"/>
                <w:szCs w:val="20"/>
              </w:rPr>
            </w:pPr>
            <w:r>
              <w:rPr>
                <w:rFonts w:eastAsia="Calibri" w:cs="Arial"/>
                <w:b/>
                <w:kern w:val="0"/>
                <w:sz w:val="20"/>
                <w:szCs w:val="20"/>
                <w:lang w:val="es-ES" w:eastAsia="en-US" w:bidi="ar-SA"/>
              </w:rPr>
              <w:t>La Estrella 1</w:t>
            </w:r>
          </w:p>
        </w:tc>
        <w:tc>
          <w:tcPr>
            <w:tcW w:w="991" w:type="dxa"/>
            <w:tcBorders/>
          </w:tcPr>
          <w:p>
            <w:pPr>
              <w:pStyle w:val="Normal"/>
              <w:widowControl/>
              <w:spacing w:lineRule="auto" w:line="240" w:before="0" w:after="0"/>
              <w:jc w:val="both"/>
              <w:rPr>
                <w:rFonts w:cs="Arial"/>
                <w:b/>
                <w:b/>
                <w:sz w:val="20"/>
                <w:szCs w:val="20"/>
              </w:rPr>
            </w:pPr>
            <w:r>
              <w:rPr>
                <w:rFonts w:eastAsia="Calibri" w:cs="Arial"/>
                <w:b/>
                <w:kern w:val="0"/>
                <w:sz w:val="20"/>
                <w:szCs w:val="20"/>
                <w:lang w:val="es-ES" w:eastAsia="en-US" w:bidi="ar-SA"/>
              </w:rPr>
              <w:t>7-5</w:t>
            </w:r>
          </w:p>
        </w:tc>
        <w:tc>
          <w:tcPr>
            <w:tcW w:w="1277" w:type="dxa"/>
            <w:tcBorders/>
          </w:tcPr>
          <w:p>
            <w:pPr>
              <w:pStyle w:val="Normal"/>
              <w:widowControl/>
              <w:spacing w:lineRule="auto" w:line="240" w:before="0" w:after="0"/>
              <w:jc w:val="both"/>
              <w:rPr>
                <w:rFonts w:cs="Arial"/>
                <w:b/>
                <w:b/>
                <w:sz w:val="20"/>
                <w:szCs w:val="20"/>
              </w:rPr>
            </w:pPr>
            <w:r>
              <w:rPr>
                <w:rFonts w:eastAsia="Calibri" w:cs="Arial"/>
                <w:b/>
                <w:kern w:val="0"/>
                <w:sz w:val="20"/>
                <w:szCs w:val="20"/>
                <w:lang w:val="es-ES" w:eastAsia="en-US" w:bidi="ar-SA"/>
              </w:rPr>
              <w:t>5-4</w:t>
            </w:r>
          </w:p>
        </w:tc>
      </w:tr>
      <w:tr>
        <w:trPr/>
        <w:tc>
          <w:tcPr>
            <w:tcW w:w="1668" w:type="dxa"/>
            <w:tcBorders/>
          </w:tcPr>
          <w:p>
            <w:pPr>
              <w:pStyle w:val="Normal"/>
              <w:widowControl/>
              <w:spacing w:lineRule="auto" w:line="240" w:before="0" w:after="0"/>
              <w:jc w:val="both"/>
              <w:rPr>
                <w:rFonts w:cs="Arial"/>
                <w:b/>
                <w:b/>
                <w:sz w:val="20"/>
                <w:szCs w:val="20"/>
              </w:rPr>
            </w:pPr>
            <w:r>
              <w:rPr>
                <w:rFonts w:eastAsia="Calibri" w:cs="Arial"/>
                <w:b/>
                <w:kern w:val="0"/>
                <w:sz w:val="20"/>
                <w:szCs w:val="20"/>
                <w:lang w:val="es-ES" w:eastAsia="en-US" w:bidi="ar-SA"/>
              </w:rPr>
              <w:t>La Estrella 2</w:t>
            </w:r>
          </w:p>
        </w:tc>
        <w:tc>
          <w:tcPr>
            <w:tcW w:w="991" w:type="dxa"/>
            <w:tcBorders/>
          </w:tcPr>
          <w:p>
            <w:pPr>
              <w:pStyle w:val="Normal"/>
              <w:widowControl/>
              <w:spacing w:lineRule="auto" w:line="240" w:before="0" w:after="0"/>
              <w:jc w:val="both"/>
              <w:rPr>
                <w:rFonts w:cs="Arial"/>
                <w:b/>
                <w:b/>
                <w:sz w:val="20"/>
                <w:szCs w:val="20"/>
              </w:rPr>
            </w:pPr>
            <w:r>
              <w:rPr>
                <w:rFonts w:eastAsia="Calibri" w:cs="Arial"/>
                <w:b/>
                <w:kern w:val="0"/>
                <w:sz w:val="20"/>
                <w:szCs w:val="20"/>
                <w:lang w:val="es-ES" w:eastAsia="en-US" w:bidi="ar-SA"/>
              </w:rPr>
              <w:t>8-6</w:t>
            </w:r>
          </w:p>
        </w:tc>
        <w:tc>
          <w:tcPr>
            <w:tcW w:w="1277" w:type="dxa"/>
            <w:tcBorders/>
          </w:tcPr>
          <w:p>
            <w:pPr>
              <w:pStyle w:val="Normal"/>
              <w:widowControl/>
              <w:spacing w:lineRule="auto" w:line="240" w:before="0" w:after="0"/>
              <w:jc w:val="both"/>
              <w:rPr>
                <w:rFonts w:cs="Arial"/>
                <w:b/>
                <w:b/>
                <w:sz w:val="20"/>
                <w:szCs w:val="20"/>
              </w:rPr>
            </w:pPr>
            <w:r>
              <w:rPr>
                <w:rFonts w:eastAsia="Calibri" w:cs="Arial"/>
                <w:b/>
                <w:kern w:val="0"/>
                <w:sz w:val="20"/>
                <w:szCs w:val="20"/>
                <w:lang w:val="es-ES" w:eastAsia="en-US" w:bidi="ar-SA"/>
              </w:rPr>
              <w:t>5-2</w:t>
            </w:r>
          </w:p>
        </w:tc>
      </w:tr>
      <w:tr>
        <w:trPr/>
        <w:tc>
          <w:tcPr>
            <w:tcW w:w="1668" w:type="dxa"/>
            <w:tcBorders/>
          </w:tcPr>
          <w:p>
            <w:pPr>
              <w:pStyle w:val="Normal"/>
              <w:widowControl/>
              <w:spacing w:lineRule="auto" w:line="240" w:before="0" w:after="0"/>
              <w:jc w:val="both"/>
              <w:rPr>
                <w:rFonts w:cs="Arial"/>
                <w:b/>
                <w:b/>
                <w:sz w:val="20"/>
                <w:szCs w:val="20"/>
              </w:rPr>
            </w:pPr>
            <w:r>
              <w:rPr>
                <w:rFonts w:eastAsia="Calibri" w:cs="Arial"/>
                <w:b/>
                <w:kern w:val="0"/>
                <w:sz w:val="20"/>
                <w:szCs w:val="20"/>
                <w:lang w:val="es-ES" w:eastAsia="en-US" w:bidi="ar-SA"/>
              </w:rPr>
              <w:t>La Estrella 3</w:t>
            </w:r>
          </w:p>
        </w:tc>
        <w:tc>
          <w:tcPr>
            <w:tcW w:w="991" w:type="dxa"/>
            <w:tcBorders/>
          </w:tcPr>
          <w:p>
            <w:pPr>
              <w:pStyle w:val="Normal"/>
              <w:widowControl/>
              <w:spacing w:lineRule="auto" w:line="240" w:before="0" w:after="0"/>
              <w:jc w:val="both"/>
              <w:rPr>
                <w:rFonts w:cs="Arial"/>
                <w:b/>
                <w:b/>
                <w:sz w:val="20"/>
                <w:szCs w:val="20"/>
              </w:rPr>
            </w:pPr>
            <w:r>
              <w:rPr>
                <w:rFonts w:eastAsia="Calibri" w:cs="Arial"/>
                <w:b/>
                <w:kern w:val="0"/>
                <w:sz w:val="20"/>
                <w:szCs w:val="20"/>
                <w:lang w:val="es-ES" w:eastAsia="en-US" w:bidi="ar-SA"/>
              </w:rPr>
              <w:t>6-5</w:t>
            </w:r>
          </w:p>
        </w:tc>
        <w:tc>
          <w:tcPr>
            <w:tcW w:w="1277" w:type="dxa"/>
            <w:tcBorders/>
          </w:tcPr>
          <w:p>
            <w:pPr>
              <w:pStyle w:val="Normal"/>
              <w:widowControl/>
              <w:spacing w:lineRule="auto" w:line="240" w:before="0" w:after="0"/>
              <w:jc w:val="both"/>
              <w:rPr>
                <w:rFonts w:cs="Arial"/>
                <w:b/>
                <w:b/>
                <w:sz w:val="20"/>
                <w:szCs w:val="20"/>
              </w:rPr>
            </w:pPr>
            <w:r>
              <w:rPr>
                <w:rFonts w:eastAsia="Calibri" w:cs="Arial"/>
                <w:b/>
                <w:kern w:val="0"/>
                <w:sz w:val="20"/>
                <w:szCs w:val="20"/>
                <w:lang w:val="es-ES" w:eastAsia="en-US" w:bidi="ar-SA"/>
              </w:rPr>
              <w:t>5-1</w:t>
            </w:r>
          </w:p>
        </w:tc>
      </w:tr>
    </w:tbl>
    <w:p>
      <w:pPr>
        <w:pStyle w:val="Normal"/>
        <w:spacing w:lineRule="auto" w:line="240" w:before="0" w:after="0"/>
        <w:jc w:val="both"/>
        <w:rPr>
          <w:rFonts w:cs="Arial"/>
          <w:b/>
          <w:b/>
          <w:sz w:val="20"/>
          <w:szCs w:val="20"/>
        </w:rPr>
      </w:pPr>
      <w:r>
        <w:rPr>
          <w:rFonts w:cs="Arial"/>
          <w:b/>
          <w:sz w:val="20"/>
          <w:szCs w:val="20"/>
        </w:rPr>
      </w:r>
    </w:p>
    <w:tbl>
      <w:tblPr>
        <w:tblStyle w:val="Tablaconcuadrcula"/>
        <w:tblW w:w="3936" w:type="dxa"/>
        <w:jc w:val="left"/>
        <w:tblInd w:w="708" w:type="dxa"/>
        <w:tblLayout w:type="fixed"/>
        <w:tblCellMar>
          <w:top w:w="0" w:type="dxa"/>
          <w:left w:w="108" w:type="dxa"/>
          <w:bottom w:w="0" w:type="dxa"/>
          <w:right w:w="108" w:type="dxa"/>
        </w:tblCellMar>
        <w:tblLook w:val="04a0"/>
      </w:tblPr>
      <w:tblGrid>
        <w:gridCol w:w="1668"/>
        <w:gridCol w:w="991"/>
        <w:gridCol w:w="1277"/>
      </w:tblGrid>
      <w:tr>
        <w:trPr/>
        <w:tc>
          <w:tcPr>
            <w:tcW w:w="1668" w:type="dxa"/>
            <w:tcBorders/>
          </w:tcPr>
          <w:p>
            <w:pPr>
              <w:pStyle w:val="Normal"/>
              <w:widowControl/>
              <w:spacing w:lineRule="auto" w:line="240" w:before="0" w:after="0"/>
              <w:jc w:val="both"/>
              <w:rPr>
                <w:rFonts w:cs="Arial"/>
                <w:b/>
                <w:b/>
                <w:sz w:val="20"/>
                <w:szCs w:val="20"/>
              </w:rPr>
            </w:pPr>
            <w:r>
              <w:rPr>
                <w:rFonts w:eastAsia="Calibri" w:cs="Arial"/>
                <w:b/>
                <w:kern w:val="0"/>
                <w:sz w:val="20"/>
                <w:szCs w:val="20"/>
                <w:lang w:val="es-ES" w:eastAsia="en-US" w:bidi="ar-SA"/>
              </w:rPr>
            </w:r>
          </w:p>
        </w:tc>
        <w:tc>
          <w:tcPr>
            <w:tcW w:w="991" w:type="dxa"/>
            <w:tcBorders/>
          </w:tcPr>
          <w:p>
            <w:pPr>
              <w:pStyle w:val="Normal"/>
              <w:widowControl/>
              <w:spacing w:lineRule="auto" w:line="240" w:before="0" w:after="0"/>
              <w:jc w:val="both"/>
              <w:rPr>
                <w:rFonts w:cs="Arial"/>
                <w:b/>
                <w:b/>
                <w:sz w:val="20"/>
                <w:szCs w:val="20"/>
              </w:rPr>
            </w:pPr>
            <w:r>
              <w:rPr>
                <w:rFonts w:eastAsia="Calibri" w:cs="Arial"/>
                <w:b/>
                <w:kern w:val="0"/>
                <w:sz w:val="20"/>
                <w:szCs w:val="20"/>
                <w:lang w:val="es-ES" w:eastAsia="en-US" w:bidi="ar-SA"/>
              </w:rPr>
              <w:t>CALIDAD</w:t>
            </w:r>
          </w:p>
        </w:tc>
        <w:tc>
          <w:tcPr>
            <w:tcW w:w="1277" w:type="dxa"/>
            <w:tcBorders/>
          </w:tcPr>
          <w:p>
            <w:pPr>
              <w:pStyle w:val="Normal"/>
              <w:widowControl/>
              <w:spacing w:lineRule="auto" w:line="240" w:before="0" w:after="0"/>
              <w:jc w:val="both"/>
              <w:rPr>
                <w:rFonts w:cs="Arial"/>
                <w:b/>
                <w:b/>
                <w:sz w:val="20"/>
                <w:szCs w:val="20"/>
              </w:rPr>
            </w:pPr>
            <w:r>
              <w:rPr>
                <w:rFonts w:eastAsia="Calibri" w:cs="Arial"/>
                <w:b/>
                <w:kern w:val="0"/>
                <w:sz w:val="20"/>
                <w:szCs w:val="20"/>
                <w:lang w:val="es-ES" w:eastAsia="en-US" w:bidi="ar-SA"/>
              </w:rPr>
              <w:t>FRAGILIDAD</w:t>
            </w:r>
          </w:p>
        </w:tc>
      </w:tr>
      <w:tr>
        <w:trPr/>
        <w:tc>
          <w:tcPr>
            <w:tcW w:w="1668" w:type="dxa"/>
            <w:tcBorders/>
          </w:tcPr>
          <w:p>
            <w:pPr>
              <w:pStyle w:val="Normal"/>
              <w:widowControl/>
              <w:spacing w:lineRule="auto" w:line="240" w:before="0" w:after="0"/>
              <w:jc w:val="both"/>
              <w:rPr>
                <w:rFonts w:cs="Arial"/>
                <w:b/>
                <w:b/>
                <w:sz w:val="20"/>
                <w:szCs w:val="20"/>
              </w:rPr>
            </w:pPr>
            <w:r>
              <w:rPr>
                <w:rFonts w:eastAsia="Calibri" w:cs="Arial"/>
                <w:b/>
                <w:kern w:val="0"/>
                <w:sz w:val="20"/>
                <w:szCs w:val="20"/>
                <w:lang w:val="es-ES" w:eastAsia="en-US" w:bidi="ar-SA"/>
              </w:rPr>
              <w:t>La Estrella 4</w:t>
            </w:r>
          </w:p>
        </w:tc>
        <w:tc>
          <w:tcPr>
            <w:tcW w:w="991" w:type="dxa"/>
            <w:tcBorders/>
          </w:tcPr>
          <w:p>
            <w:pPr>
              <w:pStyle w:val="Normal"/>
              <w:widowControl/>
              <w:spacing w:lineRule="auto" w:line="240" w:before="0" w:after="0"/>
              <w:jc w:val="both"/>
              <w:rPr>
                <w:rFonts w:cs="Arial"/>
                <w:b/>
                <w:b/>
                <w:sz w:val="20"/>
                <w:szCs w:val="20"/>
              </w:rPr>
            </w:pPr>
            <w:r>
              <w:rPr>
                <w:rFonts w:eastAsia="Calibri" w:cs="Arial"/>
                <w:b/>
                <w:kern w:val="0"/>
                <w:sz w:val="20"/>
                <w:szCs w:val="20"/>
                <w:lang w:val="es-ES" w:eastAsia="en-US" w:bidi="ar-SA"/>
              </w:rPr>
              <w:t>10-6</w:t>
            </w:r>
          </w:p>
        </w:tc>
        <w:tc>
          <w:tcPr>
            <w:tcW w:w="1277" w:type="dxa"/>
            <w:tcBorders/>
          </w:tcPr>
          <w:p>
            <w:pPr>
              <w:pStyle w:val="Normal"/>
              <w:widowControl/>
              <w:spacing w:lineRule="auto" w:line="240" w:before="0" w:after="0"/>
              <w:jc w:val="both"/>
              <w:rPr>
                <w:rFonts w:cs="Arial"/>
                <w:b/>
                <w:b/>
                <w:sz w:val="20"/>
                <w:szCs w:val="20"/>
              </w:rPr>
            </w:pPr>
            <w:r>
              <w:rPr>
                <w:rFonts w:eastAsia="Calibri" w:cs="Arial"/>
                <w:b/>
                <w:kern w:val="0"/>
                <w:sz w:val="20"/>
                <w:szCs w:val="20"/>
                <w:lang w:val="es-ES" w:eastAsia="en-US" w:bidi="ar-SA"/>
              </w:rPr>
              <w:t>4-2</w:t>
            </w:r>
          </w:p>
        </w:tc>
      </w:tr>
      <w:tr>
        <w:trPr/>
        <w:tc>
          <w:tcPr>
            <w:tcW w:w="1668" w:type="dxa"/>
            <w:tcBorders/>
          </w:tcPr>
          <w:p>
            <w:pPr>
              <w:pStyle w:val="Normal"/>
              <w:widowControl/>
              <w:spacing w:lineRule="auto" w:line="240" w:before="0" w:after="0"/>
              <w:jc w:val="both"/>
              <w:rPr>
                <w:rFonts w:cs="Arial"/>
                <w:b/>
                <w:b/>
                <w:sz w:val="20"/>
                <w:szCs w:val="20"/>
              </w:rPr>
            </w:pPr>
            <w:r>
              <w:rPr>
                <w:rFonts w:eastAsia="Calibri" w:cs="Arial"/>
                <w:b/>
                <w:kern w:val="0"/>
                <w:sz w:val="20"/>
                <w:szCs w:val="20"/>
                <w:lang w:val="es-ES" w:eastAsia="en-US" w:bidi="ar-SA"/>
              </w:rPr>
              <w:t>La Vacada 1</w:t>
            </w:r>
          </w:p>
        </w:tc>
        <w:tc>
          <w:tcPr>
            <w:tcW w:w="991" w:type="dxa"/>
            <w:tcBorders/>
          </w:tcPr>
          <w:p>
            <w:pPr>
              <w:pStyle w:val="Normal"/>
              <w:widowControl/>
              <w:spacing w:lineRule="auto" w:line="240" w:before="0" w:after="0"/>
              <w:jc w:val="both"/>
              <w:rPr>
                <w:rFonts w:cs="Arial"/>
                <w:b/>
                <w:b/>
                <w:sz w:val="20"/>
                <w:szCs w:val="20"/>
              </w:rPr>
            </w:pPr>
            <w:r>
              <w:rPr>
                <w:rFonts w:eastAsia="Calibri" w:cs="Arial"/>
                <w:b/>
                <w:kern w:val="0"/>
                <w:sz w:val="20"/>
                <w:szCs w:val="20"/>
                <w:lang w:val="es-ES" w:eastAsia="en-US" w:bidi="ar-SA"/>
              </w:rPr>
              <w:t>10-8</w:t>
            </w:r>
          </w:p>
        </w:tc>
        <w:tc>
          <w:tcPr>
            <w:tcW w:w="1277" w:type="dxa"/>
            <w:tcBorders/>
          </w:tcPr>
          <w:p>
            <w:pPr>
              <w:pStyle w:val="Normal"/>
              <w:widowControl/>
              <w:spacing w:lineRule="auto" w:line="240" w:before="0" w:after="0"/>
              <w:jc w:val="both"/>
              <w:rPr>
                <w:rFonts w:cs="Arial"/>
                <w:b/>
                <w:b/>
                <w:sz w:val="20"/>
                <w:szCs w:val="20"/>
              </w:rPr>
            </w:pPr>
            <w:r>
              <w:rPr>
                <w:rFonts w:eastAsia="Calibri" w:cs="Arial"/>
                <w:b/>
                <w:kern w:val="0"/>
                <w:sz w:val="20"/>
                <w:szCs w:val="20"/>
                <w:lang w:val="es-ES" w:eastAsia="en-US" w:bidi="ar-SA"/>
              </w:rPr>
              <w:t>3-1</w:t>
            </w:r>
          </w:p>
        </w:tc>
      </w:tr>
      <w:tr>
        <w:trPr/>
        <w:tc>
          <w:tcPr>
            <w:tcW w:w="1668" w:type="dxa"/>
            <w:tcBorders/>
          </w:tcPr>
          <w:p>
            <w:pPr>
              <w:pStyle w:val="Normal"/>
              <w:widowControl/>
              <w:spacing w:lineRule="auto" w:line="240" w:before="0" w:after="0"/>
              <w:jc w:val="both"/>
              <w:rPr>
                <w:rFonts w:cs="Arial"/>
                <w:b/>
                <w:b/>
                <w:sz w:val="20"/>
                <w:szCs w:val="20"/>
              </w:rPr>
            </w:pPr>
            <w:r>
              <w:rPr>
                <w:rFonts w:eastAsia="Calibri" w:cs="Arial"/>
                <w:b/>
                <w:kern w:val="0"/>
                <w:sz w:val="20"/>
                <w:szCs w:val="20"/>
                <w:lang w:val="es-ES" w:eastAsia="en-US" w:bidi="ar-SA"/>
              </w:rPr>
              <w:t>La Vacada 2</w:t>
            </w:r>
          </w:p>
        </w:tc>
        <w:tc>
          <w:tcPr>
            <w:tcW w:w="991" w:type="dxa"/>
            <w:tcBorders/>
          </w:tcPr>
          <w:p>
            <w:pPr>
              <w:pStyle w:val="Normal"/>
              <w:widowControl/>
              <w:spacing w:lineRule="auto" w:line="240" w:before="0" w:after="0"/>
              <w:jc w:val="both"/>
              <w:rPr>
                <w:rFonts w:cs="Arial"/>
                <w:b/>
                <w:b/>
                <w:sz w:val="20"/>
                <w:szCs w:val="20"/>
              </w:rPr>
            </w:pPr>
            <w:r>
              <w:rPr>
                <w:rFonts w:eastAsia="Calibri" w:cs="Arial"/>
                <w:b/>
                <w:kern w:val="0"/>
                <w:sz w:val="20"/>
                <w:szCs w:val="20"/>
                <w:lang w:val="es-ES" w:eastAsia="en-US" w:bidi="ar-SA"/>
              </w:rPr>
              <w:t>8-7</w:t>
            </w:r>
          </w:p>
        </w:tc>
        <w:tc>
          <w:tcPr>
            <w:tcW w:w="1277" w:type="dxa"/>
            <w:tcBorders/>
          </w:tcPr>
          <w:p>
            <w:pPr>
              <w:pStyle w:val="Normal"/>
              <w:widowControl/>
              <w:spacing w:lineRule="auto" w:line="240" w:before="0" w:after="0"/>
              <w:jc w:val="both"/>
              <w:rPr>
                <w:rFonts w:cs="Arial"/>
                <w:b/>
                <w:b/>
                <w:sz w:val="20"/>
                <w:szCs w:val="20"/>
              </w:rPr>
            </w:pPr>
            <w:r>
              <w:rPr>
                <w:rFonts w:eastAsia="Calibri" w:cs="Arial"/>
                <w:b/>
                <w:kern w:val="0"/>
                <w:sz w:val="20"/>
                <w:szCs w:val="20"/>
                <w:lang w:val="es-ES" w:eastAsia="en-US" w:bidi="ar-SA"/>
              </w:rPr>
              <w:t>5-3</w:t>
            </w:r>
          </w:p>
        </w:tc>
      </w:tr>
      <w:tr>
        <w:trPr/>
        <w:tc>
          <w:tcPr>
            <w:tcW w:w="1668" w:type="dxa"/>
            <w:tcBorders/>
          </w:tcPr>
          <w:p>
            <w:pPr>
              <w:pStyle w:val="Normal"/>
              <w:widowControl/>
              <w:spacing w:lineRule="auto" w:line="240" w:before="0" w:after="0"/>
              <w:jc w:val="both"/>
              <w:rPr>
                <w:rFonts w:cs="Arial"/>
                <w:b/>
                <w:b/>
                <w:sz w:val="20"/>
                <w:szCs w:val="20"/>
              </w:rPr>
            </w:pPr>
            <w:r>
              <w:rPr>
                <w:rFonts w:eastAsia="Calibri" w:cs="Arial"/>
                <w:b/>
                <w:kern w:val="0"/>
                <w:sz w:val="20"/>
                <w:szCs w:val="20"/>
                <w:lang w:val="es-ES" w:eastAsia="en-US" w:bidi="ar-SA"/>
              </w:rPr>
              <w:t>La Vacada 3</w:t>
            </w:r>
          </w:p>
        </w:tc>
        <w:tc>
          <w:tcPr>
            <w:tcW w:w="991" w:type="dxa"/>
            <w:tcBorders/>
          </w:tcPr>
          <w:p>
            <w:pPr>
              <w:pStyle w:val="Normal"/>
              <w:widowControl/>
              <w:spacing w:lineRule="auto" w:line="240" w:before="0" w:after="0"/>
              <w:jc w:val="both"/>
              <w:rPr>
                <w:rFonts w:cs="Arial"/>
                <w:b/>
                <w:b/>
                <w:sz w:val="20"/>
                <w:szCs w:val="20"/>
              </w:rPr>
            </w:pPr>
            <w:r>
              <w:rPr>
                <w:rFonts w:eastAsia="Calibri" w:cs="Arial"/>
                <w:b/>
                <w:kern w:val="0"/>
                <w:sz w:val="20"/>
                <w:szCs w:val="20"/>
                <w:lang w:val="es-ES" w:eastAsia="en-US" w:bidi="ar-SA"/>
              </w:rPr>
              <w:t>8-6</w:t>
            </w:r>
          </w:p>
        </w:tc>
        <w:tc>
          <w:tcPr>
            <w:tcW w:w="1277" w:type="dxa"/>
            <w:tcBorders/>
          </w:tcPr>
          <w:p>
            <w:pPr>
              <w:pStyle w:val="Normal"/>
              <w:widowControl/>
              <w:spacing w:lineRule="auto" w:line="240" w:before="0" w:after="0"/>
              <w:jc w:val="both"/>
              <w:rPr>
                <w:rFonts w:cs="Arial"/>
                <w:b/>
                <w:b/>
                <w:sz w:val="20"/>
                <w:szCs w:val="20"/>
              </w:rPr>
            </w:pPr>
            <w:r>
              <w:rPr>
                <w:rFonts w:eastAsia="Calibri" w:cs="Arial"/>
                <w:b/>
                <w:kern w:val="0"/>
                <w:sz w:val="20"/>
                <w:szCs w:val="20"/>
                <w:lang w:val="es-ES" w:eastAsia="en-US" w:bidi="ar-SA"/>
              </w:rPr>
              <w:t>5-2</w:t>
            </w:r>
          </w:p>
        </w:tc>
      </w:tr>
      <w:tr>
        <w:trPr/>
        <w:tc>
          <w:tcPr>
            <w:tcW w:w="1668" w:type="dxa"/>
            <w:tcBorders/>
          </w:tcPr>
          <w:p>
            <w:pPr>
              <w:pStyle w:val="Normal"/>
              <w:widowControl/>
              <w:spacing w:lineRule="auto" w:line="240" w:before="0" w:after="0"/>
              <w:jc w:val="both"/>
              <w:rPr>
                <w:rFonts w:cs="Arial"/>
                <w:b/>
                <w:b/>
                <w:sz w:val="20"/>
                <w:szCs w:val="20"/>
              </w:rPr>
            </w:pPr>
            <w:r>
              <w:rPr>
                <w:rFonts w:eastAsia="Calibri" w:cs="Arial"/>
                <w:b/>
                <w:kern w:val="0"/>
                <w:sz w:val="20"/>
                <w:szCs w:val="20"/>
                <w:lang w:val="es-ES" w:eastAsia="en-US" w:bidi="ar-SA"/>
              </w:rPr>
              <w:t>La Vacada 4</w:t>
            </w:r>
          </w:p>
        </w:tc>
        <w:tc>
          <w:tcPr>
            <w:tcW w:w="991" w:type="dxa"/>
            <w:tcBorders/>
          </w:tcPr>
          <w:p>
            <w:pPr>
              <w:pStyle w:val="Normal"/>
              <w:widowControl/>
              <w:spacing w:lineRule="auto" w:line="240" w:before="0" w:after="0"/>
              <w:jc w:val="both"/>
              <w:rPr>
                <w:rFonts w:cs="Arial"/>
                <w:b/>
                <w:b/>
                <w:sz w:val="20"/>
                <w:szCs w:val="20"/>
              </w:rPr>
            </w:pPr>
            <w:r>
              <w:rPr>
                <w:rFonts w:eastAsia="Calibri" w:cs="Arial"/>
                <w:b/>
                <w:kern w:val="0"/>
                <w:sz w:val="20"/>
                <w:szCs w:val="20"/>
                <w:lang w:val="es-ES" w:eastAsia="en-US" w:bidi="ar-SA"/>
              </w:rPr>
              <w:t>8-6</w:t>
            </w:r>
          </w:p>
        </w:tc>
        <w:tc>
          <w:tcPr>
            <w:tcW w:w="1277" w:type="dxa"/>
            <w:tcBorders/>
          </w:tcPr>
          <w:p>
            <w:pPr>
              <w:pStyle w:val="Normal"/>
              <w:widowControl/>
              <w:spacing w:lineRule="auto" w:line="240" w:before="0" w:after="0"/>
              <w:jc w:val="both"/>
              <w:rPr>
                <w:rFonts w:cs="Arial"/>
                <w:b/>
                <w:b/>
                <w:sz w:val="20"/>
                <w:szCs w:val="20"/>
              </w:rPr>
            </w:pPr>
            <w:r>
              <w:rPr>
                <w:rFonts w:eastAsia="Calibri" w:cs="Arial"/>
                <w:b/>
                <w:kern w:val="0"/>
                <w:sz w:val="20"/>
                <w:szCs w:val="20"/>
                <w:lang w:val="es-ES" w:eastAsia="en-US" w:bidi="ar-SA"/>
              </w:rPr>
              <w:t>4-2</w:t>
            </w:r>
          </w:p>
        </w:tc>
      </w:tr>
      <w:tr>
        <w:trPr/>
        <w:tc>
          <w:tcPr>
            <w:tcW w:w="1668" w:type="dxa"/>
            <w:tcBorders/>
          </w:tcPr>
          <w:p>
            <w:pPr>
              <w:pStyle w:val="Normal"/>
              <w:widowControl/>
              <w:spacing w:lineRule="auto" w:line="240" w:before="0" w:after="0"/>
              <w:jc w:val="both"/>
              <w:rPr>
                <w:rFonts w:cs="Arial"/>
                <w:b/>
                <w:b/>
                <w:sz w:val="20"/>
                <w:szCs w:val="20"/>
              </w:rPr>
            </w:pPr>
            <w:r>
              <w:rPr>
                <w:rFonts w:eastAsia="Calibri" w:cs="Arial"/>
                <w:b/>
                <w:kern w:val="0"/>
                <w:sz w:val="20"/>
                <w:szCs w:val="20"/>
                <w:lang w:val="es-ES" w:eastAsia="en-US" w:bidi="ar-SA"/>
              </w:rPr>
              <w:t>La Vacada 5</w:t>
            </w:r>
          </w:p>
        </w:tc>
        <w:tc>
          <w:tcPr>
            <w:tcW w:w="991" w:type="dxa"/>
            <w:tcBorders/>
          </w:tcPr>
          <w:p>
            <w:pPr>
              <w:pStyle w:val="Normal"/>
              <w:widowControl/>
              <w:spacing w:lineRule="auto" w:line="240" w:before="0" w:after="0"/>
              <w:jc w:val="both"/>
              <w:rPr>
                <w:rFonts w:cs="Arial"/>
                <w:b/>
                <w:b/>
                <w:sz w:val="20"/>
                <w:szCs w:val="20"/>
              </w:rPr>
            </w:pPr>
            <w:r>
              <w:rPr>
                <w:rFonts w:eastAsia="Calibri" w:cs="Arial"/>
                <w:b/>
                <w:kern w:val="0"/>
                <w:sz w:val="20"/>
                <w:szCs w:val="20"/>
                <w:lang w:val="es-ES" w:eastAsia="en-US" w:bidi="ar-SA"/>
              </w:rPr>
              <w:t>10-8</w:t>
            </w:r>
          </w:p>
        </w:tc>
        <w:tc>
          <w:tcPr>
            <w:tcW w:w="1277" w:type="dxa"/>
            <w:tcBorders/>
          </w:tcPr>
          <w:p>
            <w:pPr>
              <w:pStyle w:val="Normal"/>
              <w:widowControl/>
              <w:spacing w:lineRule="auto" w:line="240" w:before="0" w:after="0"/>
              <w:jc w:val="both"/>
              <w:rPr>
                <w:rFonts w:cs="Arial"/>
                <w:b/>
                <w:b/>
                <w:sz w:val="20"/>
                <w:szCs w:val="20"/>
              </w:rPr>
            </w:pPr>
            <w:r>
              <w:rPr>
                <w:rFonts w:eastAsia="Calibri" w:cs="Arial"/>
                <w:b/>
                <w:kern w:val="0"/>
                <w:sz w:val="20"/>
                <w:szCs w:val="20"/>
                <w:lang w:val="es-ES" w:eastAsia="en-US" w:bidi="ar-SA"/>
              </w:rPr>
              <w:t>4-3</w:t>
            </w:r>
          </w:p>
        </w:tc>
      </w:tr>
      <w:tr>
        <w:trPr/>
        <w:tc>
          <w:tcPr>
            <w:tcW w:w="1668" w:type="dxa"/>
            <w:tcBorders/>
          </w:tcPr>
          <w:p>
            <w:pPr>
              <w:pStyle w:val="Normal"/>
              <w:widowControl/>
              <w:spacing w:lineRule="auto" w:line="240" w:before="0" w:after="0"/>
              <w:jc w:val="both"/>
              <w:rPr>
                <w:rFonts w:cs="Arial"/>
                <w:b/>
                <w:b/>
                <w:sz w:val="20"/>
                <w:szCs w:val="20"/>
              </w:rPr>
            </w:pPr>
            <w:r>
              <w:rPr>
                <w:rFonts w:eastAsia="Calibri" w:cs="Arial"/>
                <w:b/>
                <w:kern w:val="0"/>
                <w:sz w:val="20"/>
                <w:szCs w:val="20"/>
                <w:lang w:val="es-ES" w:eastAsia="en-US" w:bidi="ar-SA"/>
              </w:rPr>
              <w:t>La Vacada 6</w:t>
            </w:r>
          </w:p>
        </w:tc>
        <w:tc>
          <w:tcPr>
            <w:tcW w:w="991" w:type="dxa"/>
            <w:tcBorders/>
          </w:tcPr>
          <w:p>
            <w:pPr>
              <w:pStyle w:val="Normal"/>
              <w:widowControl/>
              <w:spacing w:lineRule="auto" w:line="240" w:before="0" w:after="0"/>
              <w:jc w:val="both"/>
              <w:rPr>
                <w:rFonts w:cs="Arial"/>
                <w:b/>
                <w:b/>
                <w:sz w:val="20"/>
                <w:szCs w:val="20"/>
              </w:rPr>
            </w:pPr>
            <w:r>
              <w:rPr>
                <w:rFonts w:eastAsia="Calibri" w:cs="Arial"/>
                <w:b/>
                <w:kern w:val="0"/>
                <w:sz w:val="20"/>
                <w:szCs w:val="20"/>
                <w:lang w:val="es-ES" w:eastAsia="en-US" w:bidi="ar-SA"/>
              </w:rPr>
              <w:t>10-8</w:t>
            </w:r>
          </w:p>
        </w:tc>
        <w:tc>
          <w:tcPr>
            <w:tcW w:w="1277" w:type="dxa"/>
            <w:tcBorders/>
          </w:tcPr>
          <w:p>
            <w:pPr>
              <w:pStyle w:val="Normal"/>
              <w:widowControl/>
              <w:spacing w:lineRule="auto" w:line="240" w:before="0" w:after="0"/>
              <w:jc w:val="both"/>
              <w:rPr>
                <w:rFonts w:cs="Arial"/>
                <w:b/>
                <w:b/>
                <w:sz w:val="20"/>
                <w:szCs w:val="20"/>
              </w:rPr>
            </w:pPr>
            <w:r>
              <w:rPr>
                <w:rFonts w:eastAsia="Calibri" w:cs="Arial"/>
                <w:b/>
                <w:kern w:val="0"/>
                <w:sz w:val="20"/>
                <w:szCs w:val="20"/>
                <w:lang w:val="es-ES" w:eastAsia="en-US" w:bidi="ar-SA"/>
              </w:rPr>
              <w:t>3-1</w:t>
            </w:r>
          </w:p>
        </w:tc>
      </w:tr>
      <w:tr>
        <w:trPr/>
        <w:tc>
          <w:tcPr>
            <w:tcW w:w="1668" w:type="dxa"/>
            <w:tcBorders/>
          </w:tcPr>
          <w:p>
            <w:pPr>
              <w:pStyle w:val="Normal"/>
              <w:widowControl/>
              <w:spacing w:lineRule="auto" w:line="240" w:before="0" w:after="0"/>
              <w:jc w:val="both"/>
              <w:rPr>
                <w:rFonts w:cs="Arial"/>
                <w:b/>
                <w:b/>
                <w:sz w:val="20"/>
                <w:szCs w:val="20"/>
              </w:rPr>
            </w:pPr>
            <w:r>
              <w:rPr>
                <w:rFonts w:eastAsia="Calibri" w:cs="Arial"/>
                <w:b/>
                <w:kern w:val="0"/>
                <w:sz w:val="20"/>
                <w:szCs w:val="20"/>
                <w:lang w:val="es-ES" w:eastAsia="en-US" w:bidi="ar-SA"/>
              </w:rPr>
              <w:t>Cabecero 2</w:t>
            </w:r>
          </w:p>
        </w:tc>
        <w:tc>
          <w:tcPr>
            <w:tcW w:w="991" w:type="dxa"/>
            <w:tcBorders/>
          </w:tcPr>
          <w:p>
            <w:pPr>
              <w:pStyle w:val="Normal"/>
              <w:widowControl/>
              <w:spacing w:lineRule="auto" w:line="240" w:before="0" w:after="0"/>
              <w:jc w:val="both"/>
              <w:rPr>
                <w:rFonts w:cs="Arial"/>
                <w:b/>
                <w:b/>
                <w:sz w:val="20"/>
                <w:szCs w:val="20"/>
              </w:rPr>
            </w:pPr>
            <w:r>
              <w:rPr>
                <w:rFonts w:eastAsia="Calibri" w:cs="Arial"/>
                <w:b/>
                <w:kern w:val="0"/>
                <w:sz w:val="20"/>
                <w:szCs w:val="20"/>
                <w:lang w:val="es-ES" w:eastAsia="en-US" w:bidi="ar-SA"/>
              </w:rPr>
              <w:t>10-9</w:t>
            </w:r>
          </w:p>
        </w:tc>
        <w:tc>
          <w:tcPr>
            <w:tcW w:w="1277" w:type="dxa"/>
            <w:tcBorders/>
          </w:tcPr>
          <w:p>
            <w:pPr>
              <w:pStyle w:val="Normal"/>
              <w:widowControl/>
              <w:spacing w:lineRule="auto" w:line="240" w:before="0" w:after="0"/>
              <w:jc w:val="both"/>
              <w:rPr>
                <w:rFonts w:cs="Arial"/>
                <w:b/>
                <w:b/>
                <w:sz w:val="20"/>
                <w:szCs w:val="20"/>
              </w:rPr>
            </w:pPr>
            <w:r>
              <w:rPr>
                <w:rFonts w:eastAsia="Calibri" w:cs="Arial"/>
                <w:b/>
                <w:kern w:val="0"/>
                <w:sz w:val="20"/>
                <w:szCs w:val="20"/>
                <w:lang w:val="es-ES" w:eastAsia="en-US" w:bidi="ar-SA"/>
              </w:rPr>
              <w:t>4-1</w:t>
            </w:r>
          </w:p>
        </w:tc>
      </w:tr>
      <w:tr>
        <w:trPr/>
        <w:tc>
          <w:tcPr>
            <w:tcW w:w="1668" w:type="dxa"/>
            <w:tcBorders/>
          </w:tcPr>
          <w:p>
            <w:pPr>
              <w:pStyle w:val="Normal"/>
              <w:widowControl/>
              <w:spacing w:lineRule="auto" w:line="240" w:before="0" w:after="0"/>
              <w:jc w:val="both"/>
              <w:rPr>
                <w:rFonts w:cs="Arial"/>
                <w:b/>
                <w:b/>
                <w:sz w:val="20"/>
                <w:szCs w:val="20"/>
              </w:rPr>
            </w:pPr>
            <w:r>
              <w:rPr>
                <w:rFonts w:eastAsia="Calibri" w:cs="Arial"/>
                <w:b/>
                <w:kern w:val="0"/>
                <w:sz w:val="20"/>
                <w:szCs w:val="20"/>
                <w:lang w:val="es-ES" w:eastAsia="en-US" w:bidi="ar-SA"/>
              </w:rPr>
              <w:t>Cabecero 3</w:t>
            </w:r>
          </w:p>
        </w:tc>
        <w:tc>
          <w:tcPr>
            <w:tcW w:w="991" w:type="dxa"/>
            <w:tcBorders/>
          </w:tcPr>
          <w:p>
            <w:pPr>
              <w:pStyle w:val="Normal"/>
              <w:widowControl/>
              <w:spacing w:lineRule="auto" w:line="240" w:before="0" w:after="0"/>
              <w:jc w:val="both"/>
              <w:rPr>
                <w:rFonts w:cs="Arial"/>
                <w:b/>
                <w:b/>
                <w:sz w:val="20"/>
                <w:szCs w:val="20"/>
              </w:rPr>
            </w:pPr>
            <w:r>
              <w:rPr>
                <w:rFonts w:eastAsia="Calibri" w:cs="Arial"/>
                <w:b/>
                <w:kern w:val="0"/>
                <w:sz w:val="20"/>
                <w:szCs w:val="20"/>
                <w:lang w:val="es-ES" w:eastAsia="en-US" w:bidi="ar-SA"/>
              </w:rPr>
              <w:t>10-9</w:t>
            </w:r>
          </w:p>
        </w:tc>
        <w:tc>
          <w:tcPr>
            <w:tcW w:w="1277" w:type="dxa"/>
            <w:tcBorders/>
          </w:tcPr>
          <w:p>
            <w:pPr>
              <w:pStyle w:val="Normal"/>
              <w:widowControl/>
              <w:spacing w:lineRule="auto" w:line="240" w:before="0" w:after="0"/>
              <w:jc w:val="both"/>
              <w:rPr>
                <w:rFonts w:cs="Arial"/>
                <w:b/>
                <w:b/>
                <w:sz w:val="20"/>
                <w:szCs w:val="20"/>
              </w:rPr>
            </w:pPr>
            <w:r>
              <w:rPr>
                <w:rFonts w:eastAsia="Calibri" w:cs="Arial"/>
                <w:b/>
                <w:kern w:val="0"/>
                <w:sz w:val="20"/>
                <w:szCs w:val="20"/>
                <w:lang w:val="es-ES" w:eastAsia="en-US" w:bidi="ar-SA"/>
              </w:rPr>
              <w:t>5-1</w:t>
            </w:r>
          </w:p>
        </w:tc>
      </w:tr>
      <w:tr>
        <w:trPr/>
        <w:tc>
          <w:tcPr>
            <w:tcW w:w="1668" w:type="dxa"/>
            <w:tcBorders/>
          </w:tcPr>
          <w:p>
            <w:pPr>
              <w:pStyle w:val="Normal"/>
              <w:widowControl/>
              <w:spacing w:lineRule="auto" w:line="240" w:before="0" w:after="0"/>
              <w:jc w:val="both"/>
              <w:rPr>
                <w:rFonts w:cs="Arial"/>
                <w:b/>
                <w:b/>
                <w:sz w:val="20"/>
                <w:szCs w:val="20"/>
              </w:rPr>
            </w:pPr>
            <w:r>
              <w:rPr>
                <w:rFonts w:eastAsia="Calibri" w:cs="Arial"/>
                <w:b/>
                <w:kern w:val="0"/>
                <w:sz w:val="20"/>
                <w:szCs w:val="20"/>
                <w:lang w:val="es-ES" w:eastAsia="en-US" w:bidi="ar-SA"/>
              </w:rPr>
              <w:t>Cabecero 4</w:t>
            </w:r>
          </w:p>
        </w:tc>
        <w:tc>
          <w:tcPr>
            <w:tcW w:w="991" w:type="dxa"/>
            <w:tcBorders/>
          </w:tcPr>
          <w:p>
            <w:pPr>
              <w:pStyle w:val="Normal"/>
              <w:widowControl/>
              <w:spacing w:lineRule="auto" w:line="240" w:before="0" w:after="0"/>
              <w:jc w:val="both"/>
              <w:rPr>
                <w:rFonts w:cs="Arial"/>
                <w:b/>
                <w:b/>
                <w:sz w:val="20"/>
                <w:szCs w:val="20"/>
              </w:rPr>
            </w:pPr>
            <w:r>
              <w:rPr>
                <w:rFonts w:eastAsia="Calibri" w:cs="Arial"/>
                <w:b/>
                <w:kern w:val="0"/>
                <w:sz w:val="20"/>
                <w:szCs w:val="20"/>
                <w:lang w:val="es-ES" w:eastAsia="en-US" w:bidi="ar-SA"/>
              </w:rPr>
              <w:t>10-6</w:t>
            </w:r>
          </w:p>
        </w:tc>
        <w:tc>
          <w:tcPr>
            <w:tcW w:w="1277" w:type="dxa"/>
            <w:tcBorders/>
          </w:tcPr>
          <w:p>
            <w:pPr>
              <w:pStyle w:val="Normal"/>
              <w:widowControl/>
              <w:spacing w:lineRule="auto" w:line="240" w:before="0" w:after="0"/>
              <w:jc w:val="both"/>
              <w:rPr>
                <w:rFonts w:cs="Arial"/>
                <w:b/>
                <w:b/>
                <w:sz w:val="20"/>
                <w:szCs w:val="20"/>
              </w:rPr>
            </w:pPr>
            <w:r>
              <w:rPr>
                <w:rFonts w:eastAsia="Calibri" w:cs="Arial"/>
                <w:b/>
                <w:kern w:val="0"/>
                <w:sz w:val="20"/>
                <w:szCs w:val="20"/>
                <w:lang w:val="es-ES" w:eastAsia="en-US" w:bidi="ar-SA"/>
              </w:rPr>
              <w:t>5-1</w:t>
            </w:r>
          </w:p>
        </w:tc>
      </w:tr>
      <w:tr>
        <w:trPr/>
        <w:tc>
          <w:tcPr>
            <w:tcW w:w="1668" w:type="dxa"/>
            <w:tcBorders/>
          </w:tcPr>
          <w:p>
            <w:pPr>
              <w:pStyle w:val="Normal"/>
              <w:widowControl/>
              <w:spacing w:lineRule="auto" w:line="240" w:before="0" w:after="0"/>
              <w:jc w:val="both"/>
              <w:rPr>
                <w:rFonts w:cs="Arial"/>
                <w:b/>
                <w:b/>
                <w:sz w:val="20"/>
                <w:szCs w:val="20"/>
              </w:rPr>
            </w:pPr>
            <w:r>
              <w:rPr>
                <w:rFonts w:eastAsia="Calibri" w:cs="Arial"/>
                <w:b/>
                <w:kern w:val="0"/>
                <w:sz w:val="20"/>
                <w:szCs w:val="20"/>
                <w:lang w:val="es-ES" w:eastAsia="en-US" w:bidi="ar-SA"/>
              </w:rPr>
              <w:t>Masía I y Masía II</w:t>
            </w:r>
          </w:p>
        </w:tc>
        <w:tc>
          <w:tcPr>
            <w:tcW w:w="991" w:type="dxa"/>
            <w:tcBorders/>
          </w:tcPr>
          <w:p>
            <w:pPr>
              <w:pStyle w:val="Normal"/>
              <w:widowControl/>
              <w:spacing w:lineRule="auto" w:line="240" w:before="0" w:after="0"/>
              <w:jc w:val="both"/>
              <w:rPr>
                <w:rFonts w:cs="Arial"/>
                <w:b/>
                <w:b/>
                <w:sz w:val="20"/>
                <w:szCs w:val="20"/>
              </w:rPr>
            </w:pPr>
            <w:r>
              <w:rPr>
                <w:rFonts w:eastAsia="Calibri" w:cs="Arial"/>
                <w:b/>
                <w:kern w:val="0"/>
                <w:sz w:val="20"/>
                <w:szCs w:val="20"/>
                <w:lang w:val="es-ES" w:eastAsia="en-US" w:bidi="ar-SA"/>
              </w:rPr>
              <w:t>9-6</w:t>
            </w:r>
          </w:p>
        </w:tc>
        <w:tc>
          <w:tcPr>
            <w:tcW w:w="1277" w:type="dxa"/>
            <w:tcBorders/>
          </w:tcPr>
          <w:p>
            <w:pPr>
              <w:pStyle w:val="Normal"/>
              <w:widowControl/>
              <w:spacing w:lineRule="auto" w:line="240" w:before="0" w:after="0"/>
              <w:jc w:val="both"/>
              <w:rPr>
                <w:rFonts w:cs="Arial"/>
                <w:b/>
                <w:b/>
                <w:sz w:val="20"/>
                <w:szCs w:val="20"/>
              </w:rPr>
            </w:pPr>
            <w:r>
              <w:rPr>
                <w:rFonts w:eastAsia="Calibri" w:cs="Arial"/>
                <w:b/>
                <w:kern w:val="0"/>
                <w:sz w:val="20"/>
                <w:szCs w:val="20"/>
                <w:lang w:val="es-ES" w:eastAsia="en-US" w:bidi="ar-SA"/>
              </w:rPr>
              <w:t>5-3</w:t>
            </w:r>
          </w:p>
        </w:tc>
      </w:tr>
    </w:tbl>
    <w:p>
      <w:pPr>
        <w:pStyle w:val="Normal"/>
        <w:spacing w:lineRule="auto" w:line="240" w:before="0" w:after="0"/>
        <w:jc w:val="both"/>
        <w:rPr>
          <w:rFonts w:cs="Arial"/>
          <w:b/>
          <w:b/>
          <w:sz w:val="20"/>
          <w:szCs w:val="20"/>
        </w:rPr>
      </w:pPr>
      <w:r>
        <w:rPr>
          <w:rFonts w:cs="Arial"/>
          <w:b/>
          <w:sz w:val="20"/>
          <w:szCs w:val="20"/>
        </w:rPr>
      </w:r>
    </w:p>
    <w:p>
      <w:pPr>
        <w:pStyle w:val="Normal"/>
        <w:spacing w:lineRule="auto" w:line="240" w:before="0" w:after="0"/>
        <w:jc w:val="both"/>
        <w:rPr>
          <w:rFonts w:cs="Arial"/>
          <w:b/>
          <w:b/>
          <w:sz w:val="20"/>
          <w:szCs w:val="20"/>
        </w:rPr>
      </w:pPr>
      <w:r>
        <w:rPr>
          <w:rFonts w:cs="Arial"/>
          <w:b/>
          <w:sz w:val="20"/>
          <w:szCs w:val="20"/>
        </w:rPr>
        <w:t>-La primera valoración es que hay parques eólicos con un impacto visual máximo: Cabecero III y Cabecero IV, con calidad máxima y fragilidad máxima</w:t>
      </w:r>
    </w:p>
    <w:p>
      <w:pPr>
        <w:pStyle w:val="Normal"/>
        <w:spacing w:lineRule="auto" w:line="240" w:before="0" w:after="0"/>
        <w:jc w:val="both"/>
        <w:rPr>
          <w:rFonts w:cs="Arial"/>
          <w:b/>
          <w:b/>
          <w:sz w:val="20"/>
          <w:szCs w:val="20"/>
        </w:rPr>
      </w:pPr>
      <w:r>
        <w:rPr>
          <w:rFonts w:cs="Arial"/>
          <w:b/>
          <w:sz w:val="20"/>
          <w:szCs w:val="20"/>
        </w:rPr>
        <w:t>-Las plantas fotovoltaicas tienen calidad muy alta y fragilidad máxima</w:t>
      </w:r>
    </w:p>
    <w:p>
      <w:pPr>
        <w:pStyle w:val="Normal"/>
        <w:spacing w:lineRule="auto" w:line="240" w:before="0" w:after="0"/>
        <w:jc w:val="both"/>
        <w:rPr>
          <w:rFonts w:cs="Arial"/>
          <w:b/>
          <w:b/>
          <w:sz w:val="20"/>
          <w:szCs w:val="20"/>
        </w:rPr>
      </w:pPr>
      <w:r>
        <w:rPr>
          <w:rFonts w:cs="Arial"/>
          <w:b/>
          <w:sz w:val="20"/>
          <w:szCs w:val="20"/>
        </w:rPr>
        <w:t>-Los PEs La Estrella 4, La Vacada 5 y Cabecero 2 tienen calidad máxima y fragilidad muy alta</w:t>
      </w:r>
    </w:p>
    <w:p>
      <w:pPr>
        <w:pStyle w:val="Normal"/>
        <w:spacing w:lineRule="auto" w:line="240" w:before="0" w:after="0"/>
        <w:jc w:val="both"/>
        <w:rPr>
          <w:rFonts w:cs="Arial"/>
          <w:b/>
          <w:b/>
          <w:sz w:val="20"/>
          <w:szCs w:val="20"/>
        </w:rPr>
      </w:pPr>
      <w:r>
        <w:rPr>
          <w:rFonts w:cs="Arial"/>
          <w:b/>
          <w:sz w:val="20"/>
          <w:szCs w:val="20"/>
        </w:rPr>
        <w:t>-La Vacada 1 y La Vacada 6 tienen calidad máxima</w:t>
      </w:r>
    </w:p>
    <w:p>
      <w:pPr>
        <w:pStyle w:val="Normal"/>
        <w:spacing w:lineRule="auto" w:line="240" w:before="0" w:after="0"/>
        <w:jc w:val="both"/>
        <w:rPr>
          <w:rFonts w:cs="Arial"/>
          <w:b/>
          <w:b/>
          <w:sz w:val="20"/>
          <w:szCs w:val="20"/>
        </w:rPr>
      </w:pPr>
      <w:r>
        <w:rPr>
          <w:rFonts w:cs="Arial"/>
          <w:b/>
          <w:sz w:val="20"/>
          <w:szCs w:val="20"/>
        </w:rPr>
        <w:t>-Cid 1, Cid 4, Concejo 1, Concejo 2, Concejo 3, La Estrella 1, la Estrella 2, La Estrella 3, la Vacada 2 y La Vacada 3 presentan fragilidad máxima</w:t>
      </w:r>
    </w:p>
    <w:p>
      <w:pPr>
        <w:pStyle w:val="Normal"/>
        <w:spacing w:lineRule="auto" w:line="240" w:before="0" w:after="0"/>
        <w:jc w:val="both"/>
        <w:rPr>
          <w:rFonts w:cs="Arial"/>
          <w:b/>
          <w:b/>
          <w:i/>
          <w:i/>
          <w:sz w:val="20"/>
          <w:szCs w:val="20"/>
        </w:rPr>
      </w:pPr>
      <w:r>
        <w:rPr>
          <w:rFonts w:cs="Arial"/>
          <w:b/>
          <w:i/>
          <w:sz w:val="20"/>
          <w:szCs w:val="20"/>
        </w:rPr>
      </w:r>
    </w:p>
    <w:p>
      <w:pPr>
        <w:pStyle w:val="Normal"/>
        <w:spacing w:lineRule="auto" w:line="240" w:before="0" w:after="0"/>
        <w:jc w:val="both"/>
        <w:rPr>
          <w:rFonts w:cs="Arial"/>
          <w:b/>
          <w:b/>
          <w:sz w:val="20"/>
          <w:szCs w:val="20"/>
        </w:rPr>
      </w:pPr>
      <w:r>
        <w:rPr>
          <w:rFonts w:cs="Arial"/>
          <w:b/>
          <w:sz w:val="20"/>
          <w:szCs w:val="20"/>
        </w:rPr>
        <w:t>En estos asentamientos encontramos unidades de paisaje de extraordinaria calidad y fragilidad:</w:t>
      </w:r>
    </w:p>
    <w:p>
      <w:pPr>
        <w:pStyle w:val="Normal"/>
        <w:spacing w:lineRule="auto" w:line="240" w:before="0" w:after="0"/>
        <w:jc w:val="both"/>
        <w:rPr>
          <w:rFonts w:cs="Arial"/>
          <w:b/>
          <w:b/>
          <w:sz w:val="8"/>
          <w:szCs w:val="8"/>
        </w:rPr>
      </w:pPr>
      <w:r>
        <w:rPr>
          <w:rFonts w:cs="Arial"/>
          <w:b/>
          <w:sz w:val="8"/>
          <w:szCs w:val="8"/>
        </w:rPr>
      </w:r>
    </w:p>
    <w:p>
      <w:pPr>
        <w:pStyle w:val="Normal"/>
        <w:spacing w:lineRule="auto" w:line="240" w:before="0" w:after="0"/>
        <w:ind w:left="708" w:hanging="0"/>
        <w:jc w:val="both"/>
        <w:rPr>
          <w:rFonts w:cs="Arial"/>
          <w:b/>
          <w:b/>
          <w:sz w:val="20"/>
          <w:szCs w:val="20"/>
        </w:rPr>
      </w:pPr>
      <w:r>
        <w:rPr>
          <w:rFonts w:cs="Arial"/>
          <w:b/>
          <w:sz w:val="20"/>
          <w:szCs w:val="20"/>
        </w:rPr>
        <w:t>-Rambla de las Truchas</w:t>
      </w:r>
    </w:p>
    <w:p>
      <w:pPr>
        <w:pStyle w:val="Normal"/>
        <w:spacing w:lineRule="auto" w:line="240" w:before="0" w:after="0"/>
        <w:ind w:left="708" w:hanging="0"/>
        <w:jc w:val="both"/>
        <w:rPr>
          <w:rFonts w:cs="Arial"/>
          <w:b/>
          <w:b/>
          <w:sz w:val="20"/>
          <w:szCs w:val="20"/>
        </w:rPr>
      </w:pPr>
      <w:r>
        <w:rPr>
          <w:rFonts w:cs="Arial"/>
          <w:b/>
          <w:sz w:val="20"/>
          <w:szCs w:val="20"/>
        </w:rPr>
        <w:t>-Matorrillo</w:t>
      </w:r>
    </w:p>
    <w:p>
      <w:pPr>
        <w:pStyle w:val="Normal"/>
        <w:spacing w:lineRule="auto" w:line="240" w:before="0" w:after="0"/>
        <w:ind w:left="708" w:hanging="0"/>
        <w:jc w:val="both"/>
        <w:rPr>
          <w:rFonts w:cs="Arial"/>
          <w:b/>
          <w:b/>
          <w:sz w:val="20"/>
          <w:szCs w:val="20"/>
        </w:rPr>
      </w:pPr>
      <w:r>
        <w:rPr>
          <w:rFonts w:cs="Arial"/>
          <w:b/>
          <w:sz w:val="20"/>
          <w:szCs w:val="20"/>
        </w:rPr>
        <w:t>-Pinar Ciego</w:t>
      </w:r>
    </w:p>
    <w:p>
      <w:pPr>
        <w:pStyle w:val="Normal"/>
        <w:spacing w:lineRule="auto" w:line="240" w:before="0" w:after="0"/>
        <w:ind w:left="708" w:hanging="0"/>
        <w:jc w:val="both"/>
        <w:rPr>
          <w:rFonts w:cs="Arial"/>
          <w:b/>
          <w:b/>
          <w:sz w:val="20"/>
          <w:szCs w:val="20"/>
        </w:rPr>
      </w:pPr>
      <w:r>
        <w:rPr>
          <w:rFonts w:cs="Arial"/>
          <w:b/>
          <w:sz w:val="20"/>
          <w:szCs w:val="20"/>
        </w:rPr>
        <w:t>-Cañada de Benatanduz</w:t>
      </w:r>
    </w:p>
    <w:p>
      <w:pPr>
        <w:pStyle w:val="Normal"/>
        <w:spacing w:lineRule="auto" w:line="240" w:before="0" w:after="0"/>
        <w:ind w:left="708" w:hanging="0"/>
        <w:jc w:val="both"/>
        <w:rPr>
          <w:rFonts w:cs="Arial"/>
          <w:b/>
          <w:b/>
          <w:sz w:val="20"/>
          <w:szCs w:val="20"/>
        </w:rPr>
      </w:pPr>
      <w:r>
        <w:rPr>
          <w:rFonts w:cs="Arial"/>
          <w:b/>
          <w:sz w:val="20"/>
          <w:szCs w:val="20"/>
        </w:rPr>
        <w:t>-Cerrada de Prades</w:t>
      </w:r>
    </w:p>
    <w:p>
      <w:pPr>
        <w:pStyle w:val="Normal"/>
        <w:spacing w:lineRule="auto" w:line="240" w:before="0" w:after="0"/>
        <w:ind w:left="708" w:hanging="0"/>
        <w:jc w:val="both"/>
        <w:rPr>
          <w:rFonts w:cs="Arial"/>
          <w:b/>
          <w:b/>
          <w:sz w:val="20"/>
          <w:szCs w:val="20"/>
        </w:rPr>
      </w:pPr>
      <w:r>
        <w:rPr>
          <w:rFonts w:cs="Arial"/>
          <w:b/>
          <w:sz w:val="20"/>
          <w:szCs w:val="20"/>
        </w:rPr>
        <w:t>-Rambla de Mal Burgo</w:t>
      </w:r>
    </w:p>
    <w:p>
      <w:pPr>
        <w:pStyle w:val="Normal"/>
        <w:spacing w:lineRule="auto" w:line="240" w:before="0" w:after="0"/>
        <w:ind w:left="708" w:hanging="0"/>
        <w:jc w:val="both"/>
        <w:rPr>
          <w:rFonts w:cs="Arial"/>
          <w:b/>
          <w:b/>
          <w:sz w:val="20"/>
          <w:szCs w:val="20"/>
        </w:rPr>
      </w:pPr>
      <w:r>
        <w:rPr>
          <w:rFonts w:cs="Arial"/>
          <w:b/>
          <w:sz w:val="20"/>
          <w:szCs w:val="20"/>
        </w:rPr>
        <w:t>-Loma de Mate</w:t>
      </w:r>
    </w:p>
    <w:p>
      <w:pPr>
        <w:pStyle w:val="Normal"/>
        <w:spacing w:lineRule="auto" w:line="240" w:before="0" w:after="0"/>
        <w:ind w:left="708" w:hanging="0"/>
        <w:jc w:val="both"/>
        <w:rPr>
          <w:rFonts w:cs="Arial"/>
          <w:b/>
          <w:b/>
          <w:sz w:val="20"/>
          <w:szCs w:val="20"/>
        </w:rPr>
      </w:pPr>
      <w:r>
        <w:rPr>
          <w:rFonts w:cs="Arial"/>
          <w:b/>
          <w:sz w:val="20"/>
          <w:szCs w:val="20"/>
        </w:rPr>
        <w:t>-Montes de Tarrascón</w:t>
      </w:r>
    </w:p>
    <w:p>
      <w:pPr>
        <w:pStyle w:val="Normal"/>
        <w:spacing w:lineRule="auto" w:line="240" w:before="0" w:after="0"/>
        <w:ind w:left="708" w:hanging="0"/>
        <w:jc w:val="both"/>
        <w:rPr>
          <w:rFonts w:cs="Arial"/>
          <w:b/>
          <w:b/>
          <w:sz w:val="20"/>
          <w:szCs w:val="20"/>
        </w:rPr>
      </w:pPr>
      <w:r>
        <w:rPr>
          <w:rFonts w:cs="Arial"/>
          <w:b/>
          <w:sz w:val="20"/>
          <w:szCs w:val="20"/>
        </w:rPr>
        <w:t>-Las Tres Cruces</w:t>
      </w:r>
    </w:p>
    <w:p>
      <w:pPr>
        <w:pStyle w:val="Normal"/>
        <w:spacing w:lineRule="auto" w:line="240" w:before="0" w:after="0"/>
        <w:jc w:val="both"/>
        <w:rPr>
          <w:rFonts w:cs="Arial"/>
          <w:b/>
          <w:b/>
          <w:i/>
          <w:i/>
          <w:sz w:val="20"/>
          <w:szCs w:val="20"/>
        </w:rPr>
      </w:pPr>
      <w:r>
        <w:rPr>
          <w:rFonts w:cs="Arial"/>
          <w:b/>
          <w:i/>
          <w:sz w:val="20"/>
          <w:szCs w:val="20"/>
        </w:rPr>
      </w:r>
    </w:p>
    <w:p>
      <w:pPr>
        <w:pStyle w:val="Normal"/>
        <w:spacing w:lineRule="auto" w:line="240" w:before="0" w:after="0"/>
        <w:jc w:val="both"/>
        <w:rPr>
          <w:rFonts w:cs="DejaVuSans"/>
          <w:b/>
          <w:b/>
          <w:sz w:val="20"/>
          <w:szCs w:val="20"/>
        </w:rPr>
      </w:pPr>
      <w:r>
        <w:rPr>
          <w:rFonts w:cs="Arial"/>
          <w:b/>
          <w:sz w:val="20"/>
          <w:szCs w:val="20"/>
        </w:rPr>
        <w:t>31.5</w:t>
      </w:r>
      <w:r>
        <w:rPr>
          <w:rFonts w:cs="Arial"/>
          <w:b/>
          <w:i/>
          <w:sz w:val="20"/>
          <w:szCs w:val="20"/>
        </w:rPr>
        <w:t xml:space="preserve">. </w:t>
      </w:r>
      <w:r>
        <w:rPr>
          <w:rFonts w:cs="DejaVuSans"/>
          <w:b/>
          <w:sz w:val="20"/>
          <w:szCs w:val="20"/>
        </w:rPr>
        <w:t xml:space="preserve">Deliberadamente, en el estudio de impacto ambiental se ha reducido la distancia sobre la que se ha calculado el impacto paisajístico. La valoración de la </w:t>
      </w:r>
      <w:r>
        <w:rPr>
          <w:rFonts w:eastAsia="DejaVuSans-Bold" w:cs="DejaVuSans-Bold"/>
          <w:b/>
          <w:bCs/>
          <w:sz w:val="20"/>
          <w:szCs w:val="20"/>
        </w:rPr>
        <w:t>calidad y fragilidad de las áreas que quedan dentro de la cuenca visual de la envolvente de 10 km del análisis visual (que deberían ser de hasta 20 km) se restringe de forma injustificada al “área de estudio” que se ha definido únicamente con una envolvente de 2 km</w:t>
      </w:r>
      <w:r>
        <w:rPr>
          <w:rFonts w:cs="DejaVuSans"/>
          <w:b/>
          <w:sz w:val="20"/>
          <w:szCs w:val="20"/>
        </w:rPr>
        <w:t xml:space="preserve">. </w:t>
      </w:r>
    </w:p>
    <w:p>
      <w:pPr>
        <w:pStyle w:val="Normal"/>
        <w:spacing w:lineRule="auto" w:line="240" w:before="0" w:after="0"/>
        <w:jc w:val="both"/>
        <w:rPr>
          <w:rFonts w:cs="DejaVuSans"/>
          <w:b/>
          <w:b/>
          <w:sz w:val="20"/>
          <w:szCs w:val="20"/>
        </w:rPr>
      </w:pPr>
      <w:r>
        <w:rPr>
          <w:rFonts w:cs="DejaVuSans"/>
          <w:b/>
          <w:sz w:val="20"/>
          <w:szCs w:val="20"/>
        </w:rPr>
      </w:r>
    </w:p>
    <w:p>
      <w:pPr>
        <w:pStyle w:val="Normal"/>
        <w:spacing w:lineRule="auto" w:line="240" w:before="0" w:after="0"/>
        <w:jc w:val="both"/>
        <w:rPr>
          <w:rFonts w:cs="DejaVuSans"/>
          <w:b/>
          <w:b/>
          <w:sz w:val="20"/>
          <w:szCs w:val="20"/>
        </w:rPr>
      </w:pPr>
      <w:r>
        <w:rPr>
          <w:rFonts w:cs="DejaVuSans"/>
          <w:b/>
          <w:sz w:val="20"/>
          <w:szCs w:val="20"/>
        </w:rPr>
        <w:t>Esto es incoherente con al forma en que se realizan los estudios de</w:t>
      </w:r>
      <w:r>
        <w:rPr>
          <w:rFonts w:eastAsia="DejaVuSans-Bold" w:cs="DejaVuSans-Bold"/>
          <w:b/>
          <w:bCs/>
          <w:sz w:val="20"/>
          <w:szCs w:val="20"/>
        </w:rPr>
        <w:t xml:space="preserve"> </w:t>
      </w:r>
      <w:r>
        <w:rPr>
          <w:rFonts w:cs="DejaVuSans"/>
          <w:b/>
          <w:sz w:val="20"/>
          <w:szCs w:val="20"/>
        </w:rPr>
        <w:t>paisaje pues obviamente el impacto visual por la calidad adquirida, afecta a toda la</w:t>
      </w:r>
      <w:r>
        <w:rPr>
          <w:rFonts w:eastAsia="DejaVuSans-Bold" w:cs="DejaVuSans-Bold"/>
          <w:b/>
          <w:bCs/>
          <w:sz w:val="20"/>
          <w:szCs w:val="20"/>
        </w:rPr>
        <w:t xml:space="preserve"> </w:t>
      </w:r>
      <w:r>
        <w:rPr>
          <w:rFonts w:cs="DejaVuSans"/>
          <w:b/>
          <w:sz w:val="20"/>
          <w:szCs w:val="20"/>
        </w:rPr>
        <w:t>cuenca visual y no únicamente a 2 km. Es una falta de rigor absoluta que parece que</w:t>
      </w:r>
      <w:r>
        <w:rPr>
          <w:rFonts w:eastAsia="DejaVuSans-Bold" w:cs="DejaVuSans-Bold"/>
          <w:b/>
          <w:bCs/>
          <w:sz w:val="20"/>
          <w:szCs w:val="20"/>
        </w:rPr>
        <w:t xml:space="preserve"> </w:t>
      </w:r>
      <w:r>
        <w:rPr>
          <w:rFonts w:cs="DejaVuSans"/>
          <w:b/>
          <w:sz w:val="20"/>
          <w:szCs w:val="20"/>
        </w:rPr>
        <w:t>tiene por objeto minimizar el impacto en el paisaje. Debe ser considerada la calidad,</w:t>
      </w:r>
      <w:r>
        <w:rPr>
          <w:rFonts w:eastAsia="DejaVuSans-Bold" w:cs="DejaVuSans-Bold"/>
          <w:b/>
          <w:bCs/>
          <w:sz w:val="20"/>
          <w:szCs w:val="20"/>
        </w:rPr>
        <w:t xml:space="preserve"> </w:t>
      </w:r>
      <w:r>
        <w:rPr>
          <w:rFonts w:cs="DejaVuSans"/>
          <w:b/>
          <w:sz w:val="20"/>
          <w:szCs w:val="20"/>
        </w:rPr>
        <w:t>fragilidad y aptitud de TODA LA CUENCA VISUAL AFECTADA Y NO SOLO DE LOS 2 KM.</w:t>
      </w:r>
    </w:p>
    <w:p>
      <w:pPr>
        <w:pStyle w:val="Normal"/>
        <w:spacing w:lineRule="auto" w:line="240" w:before="0" w:after="0"/>
        <w:jc w:val="both"/>
        <w:rPr>
          <w:rFonts w:eastAsia="DejaVuSans-Bold" w:cs="DejaVuSans-Bold"/>
          <w:b/>
          <w:b/>
          <w:bCs/>
          <w:sz w:val="20"/>
          <w:szCs w:val="20"/>
        </w:rPr>
      </w:pPr>
      <w:r>
        <w:rPr>
          <w:rFonts w:eastAsia="DejaVuSans-Bold" w:cs="DejaVuSans-Bold"/>
          <w:b/>
          <w:bCs/>
          <w:sz w:val="20"/>
          <w:szCs w:val="20"/>
        </w:rPr>
      </w:r>
    </w:p>
    <w:p>
      <w:pPr>
        <w:pStyle w:val="Normal"/>
        <w:spacing w:lineRule="auto" w:line="240" w:before="0" w:after="0"/>
        <w:jc w:val="both"/>
        <w:rPr>
          <w:rFonts w:cs="DejaVuSans"/>
          <w:b/>
          <w:b/>
          <w:sz w:val="20"/>
          <w:szCs w:val="20"/>
        </w:rPr>
      </w:pPr>
      <w:r>
        <w:rPr>
          <w:rFonts w:cs="DejaVuSans"/>
          <w:b/>
          <w:sz w:val="20"/>
          <w:szCs w:val="20"/>
        </w:rPr>
        <w:t>Pese a ello, el impacto visual negativo en el paisaje se reconoce muy elevado al ser de calidad y fragilidad altas, afectando a numerosos elementos paisajísticos destacados que combinan patrimonio con espacios naturales de gran valor y se reconoce también que el uso paisajístico de la zona es alto siendo los principales puntos de observación las zonas de gran accesibilidad visual (núcleos, carreteras y elementos de interés de alta frecuentación).</w:t>
      </w:r>
    </w:p>
    <w:p>
      <w:pPr>
        <w:pStyle w:val="Normal"/>
        <w:spacing w:lineRule="auto" w:line="240" w:before="0" w:after="0"/>
        <w:jc w:val="both"/>
        <w:rPr>
          <w:rFonts w:cs="Arial"/>
          <w:b/>
          <w:b/>
          <w:i/>
          <w:i/>
          <w:sz w:val="20"/>
          <w:szCs w:val="20"/>
        </w:rPr>
      </w:pPr>
      <w:r>
        <w:rPr>
          <w:rFonts w:cs="Arial"/>
          <w:b/>
          <w:i/>
          <w:sz w:val="20"/>
          <w:szCs w:val="20"/>
        </w:rPr>
      </w:r>
    </w:p>
    <w:p>
      <w:pPr>
        <w:pStyle w:val="Normal"/>
        <w:spacing w:lineRule="auto" w:line="240" w:before="0" w:after="0"/>
        <w:jc w:val="both"/>
        <w:rPr>
          <w:rFonts w:cs="Arial"/>
          <w:b/>
          <w:b/>
          <w:sz w:val="20"/>
          <w:szCs w:val="20"/>
        </w:rPr>
      </w:pPr>
      <w:r>
        <w:rPr>
          <w:rFonts w:cs="Arial"/>
          <w:b/>
          <w:sz w:val="20"/>
          <w:szCs w:val="20"/>
        </w:rPr>
        <w:t>31.6.</w:t>
      </w:r>
      <w:r>
        <w:rPr>
          <w:rFonts w:cs="Arial"/>
          <w:b/>
          <w:sz w:val="24"/>
          <w:szCs w:val="24"/>
        </w:rPr>
        <w:t xml:space="preserve"> </w:t>
      </w:r>
      <w:r>
        <w:rPr>
          <w:rFonts w:cs="Arial"/>
          <w:b/>
          <w:sz w:val="20"/>
          <w:szCs w:val="20"/>
        </w:rPr>
        <w:t>Además, nos encontramos con bellísimos cascos urbanos, muy afectados paisajísticamente por los parques eólicos:</w:t>
      </w:r>
    </w:p>
    <w:p>
      <w:pPr>
        <w:pStyle w:val="Normal"/>
        <w:spacing w:lineRule="auto" w:line="240" w:before="0" w:after="0"/>
        <w:jc w:val="both"/>
        <w:rPr>
          <w:rFonts w:cs="Arial"/>
          <w:b/>
          <w:b/>
          <w:sz w:val="8"/>
          <w:szCs w:val="8"/>
        </w:rPr>
      </w:pPr>
      <w:r>
        <w:rPr>
          <w:rFonts w:cs="Arial"/>
          <w:b/>
          <w:sz w:val="8"/>
          <w:szCs w:val="8"/>
        </w:rPr>
      </w:r>
    </w:p>
    <w:p>
      <w:pPr>
        <w:pStyle w:val="Normal"/>
        <w:spacing w:lineRule="auto" w:line="240" w:before="0" w:after="0"/>
        <w:ind w:left="708" w:hanging="0"/>
        <w:jc w:val="both"/>
        <w:rPr>
          <w:rFonts w:cs="Arial"/>
          <w:b/>
          <w:b/>
          <w:sz w:val="20"/>
          <w:szCs w:val="20"/>
        </w:rPr>
      </w:pPr>
      <w:r>
        <w:rPr>
          <w:rFonts w:cs="Arial"/>
          <w:b/>
          <w:sz w:val="20"/>
          <w:szCs w:val="20"/>
        </w:rPr>
        <w:t>- Conjunto Histórico de Cantavieja, por el PE Cid 1 y Cid 4</w:t>
      </w:r>
    </w:p>
    <w:p>
      <w:pPr>
        <w:pStyle w:val="Normal"/>
        <w:spacing w:lineRule="auto" w:line="240" w:before="0" w:after="0"/>
        <w:ind w:left="708" w:hanging="0"/>
        <w:jc w:val="both"/>
        <w:rPr>
          <w:rFonts w:cs="Arial"/>
          <w:b/>
          <w:b/>
          <w:sz w:val="20"/>
          <w:szCs w:val="20"/>
        </w:rPr>
      </w:pPr>
      <w:r>
        <w:rPr>
          <w:rFonts w:cs="Arial"/>
          <w:b/>
          <w:sz w:val="20"/>
          <w:szCs w:val="20"/>
        </w:rPr>
        <w:t>- Conjunto Histórico de Tronchón, por el PE Cid 3</w:t>
      </w:r>
    </w:p>
    <w:p>
      <w:pPr>
        <w:pStyle w:val="Normal"/>
        <w:spacing w:lineRule="auto" w:line="240" w:before="0" w:after="0"/>
        <w:ind w:left="708" w:hanging="0"/>
        <w:jc w:val="both"/>
        <w:rPr>
          <w:rFonts w:cs="Arial"/>
          <w:b/>
          <w:b/>
          <w:sz w:val="20"/>
          <w:szCs w:val="20"/>
        </w:rPr>
      </w:pPr>
      <w:r>
        <w:rPr>
          <w:rFonts w:cs="Arial"/>
          <w:b/>
          <w:sz w:val="20"/>
          <w:szCs w:val="20"/>
        </w:rPr>
        <w:t>- Conjunto Histórico de Mirambel, por el PE Cid 4</w:t>
      </w:r>
    </w:p>
    <w:p>
      <w:pPr>
        <w:pStyle w:val="Normal"/>
        <w:spacing w:lineRule="auto" w:line="240" w:before="0" w:after="0"/>
        <w:ind w:left="708" w:hanging="0"/>
        <w:jc w:val="both"/>
        <w:rPr>
          <w:rFonts w:cs="Arial"/>
          <w:b/>
          <w:b/>
          <w:sz w:val="20"/>
          <w:szCs w:val="20"/>
        </w:rPr>
      </w:pPr>
      <w:r>
        <w:rPr>
          <w:rFonts w:cs="Arial"/>
          <w:b/>
          <w:sz w:val="20"/>
          <w:szCs w:val="20"/>
        </w:rPr>
        <w:t>- Conjunto Histórico de La Iglesuela del Cid, por el PE Concejo 1 y Concejo 2</w:t>
      </w:r>
    </w:p>
    <w:p>
      <w:pPr>
        <w:pStyle w:val="Normal"/>
        <w:spacing w:lineRule="auto" w:line="240" w:before="0" w:after="0"/>
        <w:ind w:left="708" w:hanging="0"/>
        <w:jc w:val="both"/>
        <w:rPr>
          <w:rFonts w:cs="Arial"/>
          <w:b/>
          <w:b/>
          <w:sz w:val="20"/>
          <w:szCs w:val="20"/>
        </w:rPr>
      </w:pPr>
      <w:r>
        <w:rPr>
          <w:rFonts w:cs="Arial"/>
          <w:b/>
          <w:sz w:val="20"/>
          <w:szCs w:val="20"/>
        </w:rPr>
        <w:t>- Conjunto Histórico de Mosqueruela, por el PE La Estrella 1 y la Vacada 3</w:t>
      </w:r>
    </w:p>
    <w:p>
      <w:pPr>
        <w:pStyle w:val="Normal"/>
        <w:spacing w:lineRule="auto" w:line="240" w:before="0" w:after="0"/>
        <w:ind w:left="708" w:hanging="0"/>
        <w:jc w:val="both"/>
        <w:rPr>
          <w:rFonts w:cs="Arial"/>
          <w:b/>
          <w:b/>
          <w:sz w:val="8"/>
          <w:szCs w:val="8"/>
        </w:rPr>
      </w:pPr>
      <w:r>
        <w:rPr>
          <w:rFonts w:cs="Arial"/>
          <w:b/>
          <w:sz w:val="8"/>
          <w:szCs w:val="8"/>
        </w:rPr>
      </w:r>
    </w:p>
    <w:p>
      <w:pPr>
        <w:pStyle w:val="Normal"/>
        <w:spacing w:lineRule="auto" w:line="240" w:before="0" w:after="0"/>
        <w:ind w:left="708" w:hanging="0"/>
        <w:jc w:val="both"/>
        <w:rPr>
          <w:rFonts w:cs="Arial"/>
          <w:b/>
          <w:b/>
          <w:sz w:val="24"/>
          <w:szCs w:val="24"/>
        </w:rPr>
      </w:pPr>
      <w:r>
        <w:rPr>
          <w:rFonts w:cs="Arial"/>
          <w:b/>
          <w:sz w:val="20"/>
          <w:szCs w:val="20"/>
        </w:rPr>
        <w:t xml:space="preserve">- La línea eléctrica pasa a 600 m de La Mata de Morella, a 500 m de Mirambel y a 600 m de Tronchón </w:t>
      </w:r>
    </w:p>
    <w:p>
      <w:pPr>
        <w:pStyle w:val="Normal"/>
        <w:spacing w:lineRule="auto" w:line="240" w:before="0" w:after="0"/>
        <w:ind w:left="708" w:hanging="0"/>
        <w:jc w:val="both"/>
        <w:rPr>
          <w:rFonts w:cs="Arial"/>
          <w:b/>
          <w:b/>
          <w:sz w:val="20"/>
          <w:szCs w:val="20"/>
        </w:rPr>
      </w:pPr>
      <w:r>
        <w:rPr>
          <w:rFonts w:cs="Arial"/>
          <w:b/>
          <w:sz w:val="20"/>
          <w:szCs w:val="20"/>
        </w:rPr>
        <w:t>- Mirambel, Cantavieja y Puertomingalvo están incluidos en la lista de Los Pueblos más Bonitos de España</w:t>
      </w:r>
    </w:p>
    <w:p>
      <w:pPr>
        <w:pStyle w:val="Normal"/>
        <w:spacing w:lineRule="auto" w:line="240" w:before="0" w:after="0"/>
        <w:ind w:left="708" w:hanging="0"/>
        <w:jc w:val="both"/>
        <w:rPr>
          <w:rFonts w:cs="Arial"/>
          <w:b/>
          <w:b/>
          <w:sz w:val="20"/>
          <w:szCs w:val="20"/>
        </w:rPr>
      </w:pPr>
      <w:r>
        <w:rPr>
          <w:rFonts w:cs="Arial"/>
          <w:b/>
          <w:sz w:val="20"/>
          <w:szCs w:val="20"/>
        </w:rPr>
        <w:t>- Mosqueruela y Fortanete están incluidos en la lista de Los Pueblos Mágicos de España</w:t>
      </w:r>
    </w:p>
    <w:p>
      <w:pPr>
        <w:pStyle w:val="Normal"/>
        <w:spacing w:lineRule="auto" w:line="240" w:before="0" w:after="0"/>
        <w:ind w:left="708" w:hanging="0"/>
        <w:jc w:val="both"/>
        <w:rPr>
          <w:rFonts w:cs="Arial"/>
          <w:b/>
          <w:b/>
          <w:sz w:val="20"/>
          <w:szCs w:val="20"/>
        </w:rPr>
      </w:pPr>
      <w:r>
        <w:rPr>
          <w:rFonts w:cs="Arial"/>
          <w:b/>
          <w:sz w:val="20"/>
          <w:szCs w:val="20"/>
        </w:rPr>
        <w:t>- Mosqueruela está en la Fundación Starlight de cielos limpios de contaminación lumínica.</w:t>
      </w:r>
    </w:p>
    <w:p>
      <w:pPr>
        <w:pStyle w:val="Normal"/>
        <w:spacing w:lineRule="auto" w:line="240" w:before="0" w:after="0"/>
        <w:jc w:val="both"/>
        <w:rPr>
          <w:rFonts w:cs="Helvetica"/>
          <w:b/>
          <w:b/>
          <w:sz w:val="20"/>
          <w:szCs w:val="20"/>
        </w:rPr>
      </w:pPr>
      <w:r>
        <w:rPr>
          <w:rFonts w:cs="Helvetica"/>
          <w:b/>
          <w:sz w:val="20"/>
          <w:szCs w:val="20"/>
        </w:rPr>
      </w:r>
    </w:p>
    <w:p>
      <w:pPr>
        <w:pStyle w:val="Normal"/>
        <w:spacing w:lineRule="auto" w:line="240" w:before="0" w:after="0"/>
        <w:jc w:val="both"/>
        <w:rPr>
          <w:rFonts w:cs="DejaVuSans"/>
          <w:b/>
          <w:b/>
          <w:sz w:val="20"/>
          <w:szCs w:val="20"/>
        </w:rPr>
      </w:pPr>
      <w:r>
        <w:rPr>
          <w:rFonts w:cs="Helvetica"/>
          <w:b/>
          <w:sz w:val="20"/>
          <w:szCs w:val="20"/>
        </w:rPr>
        <w:t xml:space="preserve">31.7. </w:t>
      </w:r>
      <w:r>
        <w:rPr>
          <w:rFonts w:cs="DejaVuSans"/>
          <w:b/>
          <w:sz w:val="20"/>
          <w:szCs w:val="20"/>
        </w:rPr>
        <w:t>El Plan Energético de Aragón 2013-2020 (PLEAR), de acuerdo también con los objetivos y compromisos de España y la UE, fomenta el uso de energías renovables.</w:t>
      </w:r>
    </w:p>
    <w:p>
      <w:pPr>
        <w:pStyle w:val="Normal"/>
        <w:spacing w:lineRule="auto" w:line="240" w:before="0" w:after="0"/>
        <w:jc w:val="both"/>
        <w:rPr>
          <w:rFonts w:cs="DejaVuSans"/>
          <w:b/>
          <w:b/>
          <w:sz w:val="20"/>
          <w:szCs w:val="20"/>
        </w:rPr>
      </w:pPr>
      <w:r>
        <w:rPr>
          <w:rFonts w:cs="DejaVuSans"/>
          <w:b/>
          <w:sz w:val="20"/>
          <w:szCs w:val="20"/>
        </w:rPr>
        <w:t>Pero igualmente el PLEAR cita:</w:t>
      </w:r>
    </w:p>
    <w:p>
      <w:pPr>
        <w:pStyle w:val="Normal"/>
        <w:spacing w:lineRule="auto" w:line="240" w:before="0" w:after="0"/>
        <w:jc w:val="both"/>
        <w:rPr>
          <w:rFonts w:cs="DejaVuSans"/>
          <w:b/>
          <w:b/>
          <w:sz w:val="8"/>
          <w:szCs w:val="8"/>
        </w:rPr>
      </w:pPr>
      <w:r>
        <w:rPr>
          <w:rFonts w:cs="DejaVuSans"/>
          <w:b/>
          <w:sz w:val="8"/>
          <w:szCs w:val="8"/>
        </w:rPr>
      </w:r>
    </w:p>
    <w:p>
      <w:pPr>
        <w:pStyle w:val="Normal"/>
        <w:spacing w:lineRule="auto" w:line="240" w:before="0" w:after="0"/>
        <w:ind w:left="708" w:hanging="0"/>
        <w:jc w:val="both"/>
        <w:rPr>
          <w:rFonts w:cs="DejaVuSans-Oblique"/>
          <w:b/>
          <w:b/>
          <w:i/>
          <w:i/>
          <w:iCs/>
          <w:sz w:val="20"/>
          <w:szCs w:val="20"/>
        </w:rPr>
      </w:pPr>
      <w:r>
        <w:rPr>
          <w:rFonts w:cs="DejaVuSans-Oblique"/>
          <w:b/>
          <w:i/>
          <w:iCs/>
          <w:sz w:val="20"/>
          <w:szCs w:val="20"/>
        </w:rPr>
        <w:t>“</w:t>
      </w:r>
      <w:r>
        <w:rPr>
          <w:rFonts w:cs="DejaVuSans-Oblique"/>
          <w:b/>
          <w:i/>
          <w:iCs/>
          <w:sz w:val="20"/>
          <w:szCs w:val="20"/>
        </w:rPr>
        <w:t>Las instalaciones se ubicarán preferentemente en lugares de mínimo impacto visual y se procurará la integración paisajística de las instalaciones, mediante el uso de las técnicas necesarias para conseguir la mejor integración de las obras frente a la fauna, vegetación, paisaje, erosión, etc.</w:t>
      </w:r>
    </w:p>
    <w:p>
      <w:pPr>
        <w:pStyle w:val="Normal"/>
        <w:spacing w:lineRule="auto" w:line="240" w:before="0" w:after="0"/>
        <w:ind w:left="708" w:hanging="0"/>
        <w:jc w:val="both"/>
        <w:rPr>
          <w:rFonts w:cs="DejaVuSans-Oblique"/>
          <w:b/>
          <w:b/>
          <w:i/>
          <w:i/>
          <w:iCs/>
          <w:sz w:val="20"/>
          <w:szCs w:val="20"/>
        </w:rPr>
      </w:pPr>
      <w:r>
        <w:rPr>
          <w:rFonts w:cs="DejaVuSans-Oblique"/>
          <w:b/>
          <w:i/>
          <w:iCs/>
          <w:sz w:val="20"/>
          <w:szCs w:val="20"/>
        </w:rPr>
        <w:t>Se tendrán en cuenta los Mapas de Paisaje de las Comarcas de Aragón y se valorarán las afecciones paisajísticas en base a dichos mapas”</w:t>
      </w:r>
    </w:p>
    <w:p>
      <w:pPr>
        <w:pStyle w:val="Normal"/>
        <w:spacing w:lineRule="auto" w:line="240" w:before="0" w:after="0"/>
        <w:jc w:val="both"/>
        <w:rPr>
          <w:rFonts w:cs="DejaVuSans"/>
          <w:b/>
          <w:b/>
          <w:sz w:val="20"/>
          <w:szCs w:val="20"/>
        </w:rPr>
      </w:pPr>
      <w:r>
        <w:rPr>
          <w:rFonts w:cs="DejaVuSans"/>
          <w:b/>
          <w:sz w:val="20"/>
          <w:szCs w:val="20"/>
        </w:rPr>
      </w:r>
    </w:p>
    <w:p>
      <w:pPr>
        <w:pStyle w:val="Normal"/>
        <w:spacing w:lineRule="auto" w:line="240" w:before="0" w:after="0"/>
        <w:jc w:val="both"/>
        <w:rPr>
          <w:rFonts w:cs="DejaVuSans"/>
          <w:b/>
          <w:b/>
          <w:sz w:val="20"/>
          <w:szCs w:val="20"/>
        </w:rPr>
      </w:pPr>
      <w:r>
        <w:rPr>
          <w:rFonts w:cs="DejaVuSans"/>
          <w:b/>
          <w:sz w:val="20"/>
          <w:szCs w:val="20"/>
        </w:rPr>
        <w:t>La implantación de las infraestructuras de Energía Renovable sin duda necesarias, ha de conseguir hacerse sin ir en contra de otros objetivos que también son importantes y ello obliga a utilizar al menos los instrumentos disponibles para realizar los proyectos y los EIA con todas las variables imprescindibles y esto no se ha hecho.</w:t>
      </w:r>
    </w:p>
    <w:p>
      <w:pPr>
        <w:pStyle w:val="Normal"/>
        <w:spacing w:lineRule="auto" w:line="240" w:before="0" w:after="0"/>
        <w:jc w:val="both"/>
        <w:rPr>
          <w:rFonts w:eastAsia="DejaVuSans-Bold" w:cs="DejaVuSans-Bold"/>
          <w:b/>
          <w:b/>
          <w:bCs/>
          <w:sz w:val="20"/>
          <w:szCs w:val="20"/>
        </w:rPr>
      </w:pPr>
      <w:r>
        <w:rPr>
          <w:rFonts w:eastAsia="DejaVuSans-Bold" w:cs="DejaVuSans-Bold"/>
          <w:b/>
          <w:bCs/>
          <w:sz w:val="20"/>
          <w:szCs w:val="20"/>
        </w:rPr>
      </w:r>
    </w:p>
    <w:p>
      <w:pPr>
        <w:pStyle w:val="NormalWeb"/>
        <w:shd w:val="clear" w:color="auto" w:fill="FFFFFF"/>
        <w:spacing w:beforeAutospacing="0" w:before="0" w:afterAutospacing="0" w:after="0"/>
        <w:jc w:val="both"/>
        <w:rPr>
          <w:rFonts w:ascii="Calibri" w:hAnsi="Calibri"/>
          <w:b/>
          <w:b/>
          <w:sz w:val="20"/>
          <w:szCs w:val="20"/>
        </w:rPr>
      </w:pPr>
      <w:r>
        <w:rPr>
          <w:rFonts w:ascii="Calibri" w:hAnsi="Calibri"/>
          <w:b/>
          <w:sz w:val="20"/>
          <w:szCs w:val="20"/>
        </w:rPr>
        <w:t xml:space="preserve">32. </w:t>
      </w:r>
      <w:r>
        <w:rPr>
          <w:rFonts w:ascii="Calibri" w:hAnsi="Calibri"/>
          <w:b/>
          <w:sz w:val="20"/>
          <w:szCs w:val="20"/>
          <w:u w:val="single"/>
        </w:rPr>
        <w:t>NO SE HA DADO TRÁMITE DE AUDIENCIA A LOS CIUDADANOS INTERESADOS AFECTADOS POR LA CONSTRUCCIÓN DE LAS CENTRALES ELÉCTRICAS ANTES DE EMITIR LA RESOLUCIÓN CON LA AUTORIZACIÓN ADMINISTRATIVA PREVIA</w:t>
      </w:r>
    </w:p>
    <w:p>
      <w:pPr>
        <w:pStyle w:val="NormalWeb"/>
        <w:shd w:val="clear" w:color="auto" w:fill="FFFFFF"/>
        <w:spacing w:beforeAutospacing="0" w:before="0" w:afterAutospacing="0" w:after="0"/>
        <w:jc w:val="both"/>
        <w:rPr>
          <w:rFonts w:ascii="Calibri" w:hAnsi="Calibri"/>
          <w:b/>
          <w:b/>
          <w:i/>
          <w:i/>
          <w:sz w:val="8"/>
          <w:szCs w:val="8"/>
        </w:rPr>
      </w:pPr>
      <w:r>
        <w:rPr>
          <w:rFonts w:ascii="Calibri" w:hAnsi="Calibri"/>
          <w:b/>
          <w:i/>
          <w:sz w:val="8"/>
          <w:szCs w:val="8"/>
        </w:rPr>
      </w:r>
    </w:p>
    <w:p>
      <w:pPr>
        <w:pStyle w:val="NormalWeb"/>
        <w:shd w:val="clear" w:color="auto" w:fill="FFFFFF"/>
        <w:spacing w:beforeAutospacing="0" w:before="0" w:afterAutospacing="0" w:after="0"/>
        <w:jc w:val="both"/>
        <w:rPr>
          <w:rFonts w:ascii="Calibri" w:hAnsi="Calibri"/>
          <w:b/>
          <w:b/>
          <w:sz w:val="20"/>
          <w:szCs w:val="20"/>
        </w:rPr>
      </w:pPr>
      <w:r>
        <w:rPr>
          <w:rFonts w:ascii="Calibri" w:hAnsi="Calibri"/>
          <w:b/>
          <w:sz w:val="20"/>
          <w:szCs w:val="20"/>
        </w:rPr>
        <w:t>32.1. Los ciudadanos afectados por la construcción de las centrales eléctricas no han conocido ni la Declaración de impacto ni la Autorización administrativa hasta el momento en que dichas Resoluciones han sido publicadas en el Boletín Oficial del Estado.</w:t>
      </w:r>
    </w:p>
    <w:p>
      <w:pPr>
        <w:pStyle w:val="NormalWeb"/>
        <w:shd w:val="clear" w:color="auto" w:fill="FFFFFF"/>
        <w:spacing w:beforeAutospacing="0" w:before="0" w:afterAutospacing="0" w:after="0"/>
        <w:jc w:val="both"/>
        <w:rPr>
          <w:rFonts w:ascii="Calibri" w:hAnsi="Calibri"/>
          <w:b/>
          <w:b/>
          <w:sz w:val="20"/>
          <w:szCs w:val="20"/>
        </w:rPr>
      </w:pPr>
      <w:r>
        <w:rPr>
          <w:rFonts w:ascii="Calibri" w:hAnsi="Calibri"/>
          <w:b/>
          <w:sz w:val="20"/>
          <w:szCs w:val="20"/>
        </w:rPr>
      </w:r>
    </w:p>
    <w:p>
      <w:pPr>
        <w:pStyle w:val="NormalWeb"/>
        <w:shd w:val="clear" w:color="auto" w:fill="FFFFFF"/>
        <w:spacing w:beforeAutospacing="0" w:before="0" w:afterAutospacing="0" w:after="0"/>
        <w:jc w:val="both"/>
        <w:rPr>
          <w:rFonts w:ascii="Calibri" w:hAnsi="Calibri" w:asciiTheme="minorHAnsi" w:hAnsiTheme="minorHAnsi"/>
          <w:b/>
          <w:b/>
          <w:sz w:val="20"/>
          <w:szCs w:val="20"/>
        </w:rPr>
      </w:pPr>
      <w:r>
        <w:rPr>
          <w:rFonts w:ascii="Calibri" w:hAnsi="Calibri" w:asciiTheme="minorHAnsi" w:hAnsiTheme="minorHAnsi"/>
          <w:b/>
          <w:sz w:val="20"/>
          <w:szCs w:val="20"/>
        </w:rPr>
        <w:t xml:space="preserve">32.2. Previamente a la Resolución, los ciudadanos interesados deberían haber conocido la propuesta de Resolución y esto no se hizo. El </w:t>
      </w:r>
      <w:r>
        <w:rPr>
          <w:rStyle w:val="Destacado"/>
          <w:rFonts w:ascii="Calibri" w:hAnsi="Calibri" w:asciiTheme="minorHAnsi" w:hAnsiTheme="minorHAnsi"/>
          <w:b/>
          <w:bCs/>
          <w:i w:val="false"/>
          <w:iCs w:val="false"/>
          <w:sz w:val="20"/>
          <w:szCs w:val="20"/>
        </w:rPr>
        <w:t>artículo 82</w:t>
      </w:r>
      <w:r>
        <w:rPr>
          <w:rFonts w:ascii="Calibri" w:hAnsi="Calibri" w:asciiTheme="minorHAnsi" w:hAnsiTheme="minorHAnsi"/>
          <w:b/>
          <w:bCs/>
          <w:sz w:val="20"/>
          <w:szCs w:val="20"/>
        </w:rPr>
        <w:t> </w:t>
      </w:r>
      <w:r>
        <w:rPr>
          <w:rFonts w:ascii="Calibri" w:hAnsi="Calibri" w:asciiTheme="minorHAnsi" w:hAnsiTheme="minorHAnsi"/>
          <w:b/>
          <w:sz w:val="20"/>
          <w:szCs w:val="20"/>
        </w:rPr>
        <w:t>de la ley 39/2015, de 1 de octubre, del Procedimiento Administrativo Común de las Administraciones Públicas establece que:</w:t>
      </w:r>
    </w:p>
    <w:p>
      <w:pPr>
        <w:pStyle w:val="NormalWeb"/>
        <w:shd w:val="clear" w:color="auto" w:fill="FFFFFF"/>
        <w:spacing w:beforeAutospacing="0" w:before="0" w:afterAutospacing="0" w:after="0"/>
        <w:jc w:val="both"/>
        <w:rPr>
          <w:rFonts w:ascii="Calibri" w:hAnsi="Calibri" w:asciiTheme="minorHAnsi" w:hAnsiTheme="minorHAnsi"/>
          <w:b/>
          <w:b/>
          <w:sz w:val="8"/>
          <w:szCs w:val="8"/>
        </w:rPr>
      </w:pPr>
      <w:r>
        <w:rPr>
          <w:rFonts w:asciiTheme="minorHAnsi" w:hAnsiTheme="minorHAnsi" w:ascii="Calibri" w:hAnsi="Calibri"/>
          <w:b/>
          <w:sz w:val="8"/>
          <w:szCs w:val="8"/>
        </w:rPr>
      </w:r>
    </w:p>
    <w:p>
      <w:pPr>
        <w:pStyle w:val="NormalWeb"/>
        <w:shd w:val="clear" w:color="auto" w:fill="FFFFFF"/>
        <w:spacing w:beforeAutospacing="0" w:before="0" w:afterAutospacing="0" w:after="0"/>
        <w:ind w:left="708" w:hanging="0"/>
        <w:jc w:val="both"/>
        <w:rPr>
          <w:rFonts w:ascii="Calibri" w:hAnsi="Calibri" w:asciiTheme="minorHAnsi" w:hAnsiTheme="minorHAnsi"/>
          <w:b/>
          <w:b/>
          <w:i/>
          <w:i/>
          <w:sz w:val="20"/>
          <w:szCs w:val="20"/>
        </w:rPr>
      </w:pPr>
      <w:r>
        <w:rPr>
          <w:rFonts w:ascii="Calibri" w:hAnsi="Calibri" w:asciiTheme="minorHAnsi" w:hAnsiTheme="minorHAnsi"/>
          <w:b/>
          <w:bCs/>
          <w:i/>
          <w:sz w:val="20"/>
          <w:szCs w:val="20"/>
        </w:rPr>
        <w:t>“</w:t>
      </w:r>
      <w:r>
        <w:rPr>
          <w:rFonts w:ascii="Calibri" w:hAnsi="Calibri" w:asciiTheme="minorHAnsi" w:hAnsiTheme="minorHAnsi"/>
          <w:b/>
          <w:bCs/>
          <w:i/>
          <w:sz w:val="20"/>
          <w:szCs w:val="20"/>
        </w:rPr>
        <w:t>1. </w:t>
      </w:r>
      <w:r>
        <w:rPr>
          <w:rFonts w:ascii="Calibri" w:hAnsi="Calibri" w:asciiTheme="minorHAnsi" w:hAnsiTheme="minorHAnsi"/>
          <w:b/>
          <w:i/>
          <w:sz w:val="20"/>
          <w:szCs w:val="20"/>
        </w:rPr>
        <w:t>Instruidos los procedimientos, e inmediatamente antes de redactar la propuesta de resolución, se pondrán de manifiesto a los interesados o, en su caso, a sus representantes.(…)</w:t>
      </w:r>
    </w:p>
    <w:p>
      <w:pPr>
        <w:pStyle w:val="NormalWeb"/>
        <w:shd w:val="clear" w:color="auto" w:fill="FFFFFF"/>
        <w:spacing w:beforeAutospacing="0" w:before="0" w:afterAutospacing="0" w:after="0"/>
        <w:ind w:left="708" w:hanging="0"/>
        <w:jc w:val="both"/>
        <w:rPr>
          <w:rFonts w:ascii="Calibri" w:hAnsi="Calibri" w:asciiTheme="minorHAnsi" w:hAnsiTheme="minorHAnsi"/>
          <w:b/>
          <w:b/>
          <w:i/>
          <w:i/>
          <w:sz w:val="20"/>
          <w:szCs w:val="20"/>
        </w:rPr>
      </w:pPr>
      <w:r>
        <w:rPr>
          <w:rFonts w:ascii="Calibri" w:hAnsi="Calibri" w:asciiTheme="minorHAnsi" w:hAnsiTheme="minorHAnsi"/>
          <w:b/>
          <w:bCs/>
          <w:i/>
          <w:sz w:val="20"/>
          <w:szCs w:val="20"/>
        </w:rPr>
        <w:t>2. </w:t>
      </w:r>
      <w:r>
        <w:rPr>
          <w:rFonts w:ascii="Calibri" w:hAnsi="Calibri" w:asciiTheme="minorHAnsi" w:hAnsiTheme="minorHAnsi"/>
          <w:b/>
          <w:i/>
          <w:sz w:val="20"/>
          <w:szCs w:val="20"/>
        </w:rPr>
        <w:t>Los interesados, en un plazo no inferior a diez días ni superior a quince, podrán alegar y presentar los documentos y justificaciones que estimen pertinentes.(…)</w:t>
      </w:r>
    </w:p>
    <w:p>
      <w:pPr>
        <w:pStyle w:val="NormalWeb"/>
        <w:shd w:val="clear" w:color="auto" w:fill="FFFFFF"/>
        <w:spacing w:beforeAutospacing="0" w:before="0" w:afterAutospacing="0" w:after="0"/>
        <w:ind w:left="708" w:hanging="0"/>
        <w:jc w:val="both"/>
        <w:rPr>
          <w:rFonts w:ascii="Calibri" w:hAnsi="Calibri" w:asciiTheme="minorHAnsi" w:hAnsiTheme="minorHAnsi"/>
          <w:b/>
          <w:b/>
          <w:i/>
          <w:i/>
          <w:sz w:val="20"/>
          <w:szCs w:val="20"/>
        </w:rPr>
      </w:pPr>
      <w:r>
        <w:rPr>
          <w:rFonts w:ascii="Calibri" w:hAnsi="Calibri" w:asciiTheme="minorHAnsi" w:hAnsiTheme="minorHAnsi"/>
          <w:b/>
          <w:bCs/>
          <w:i/>
          <w:sz w:val="20"/>
          <w:szCs w:val="20"/>
        </w:rPr>
        <w:t>4. </w:t>
      </w:r>
      <w:r>
        <w:rPr>
          <w:rFonts w:ascii="Calibri" w:hAnsi="Calibri" w:asciiTheme="minorHAnsi" w:hAnsiTheme="minorHAnsi"/>
          <w:b/>
          <w:i/>
          <w:sz w:val="20"/>
          <w:szCs w:val="20"/>
        </w:rPr>
        <w:t>Se podrá prescindir del trámite de audiencia cuando no figuren en el procedimiento ni sean tenidos en cuenta en la resolución otros hechos ni otras alegaciones y pruebas que las aducidas por el interesado”.</w:t>
      </w:r>
    </w:p>
    <w:p>
      <w:pPr>
        <w:pStyle w:val="Normal"/>
        <w:spacing w:lineRule="auto" w:line="240" w:before="0" w:after="0"/>
        <w:jc w:val="both"/>
        <w:rPr>
          <w:b/>
          <w:b/>
          <w:sz w:val="20"/>
          <w:szCs w:val="20"/>
        </w:rPr>
      </w:pPr>
      <w:r>
        <w:rPr>
          <w:b/>
          <w:sz w:val="20"/>
          <w:szCs w:val="20"/>
        </w:rPr>
      </w:r>
    </w:p>
    <w:p>
      <w:pPr>
        <w:pStyle w:val="Normal"/>
        <w:spacing w:lineRule="auto" w:line="240" w:before="0" w:after="0"/>
        <w:jc w:val="both"/>
        <w:rPr>
          <w:b/>
          <w:b/>
          <w:sz w:val="20"/>
          <w:szCs w:val="20"/>
        </w:rPr>
      </w:pPr>
      <w:r>
        <w:rPr>
          <w:b/>
          <w:sz w:val="20"/>
          <w:szCs w:val="20"/>
        </w:rPr>
        <w:t xml:space="preserve">33. </w:t>
      </w:r>
      <w:r>
        <w:rPr>
          <w:b/>
          <w:sz w:val="20"/>
          <w:szCs w:val="20"/>
          <w:u w:val="single"/>
        </w:rPr>
        <w:t>LA UTILIDAD PÚBLICA DE UNA CENTRAL ELÉCTRICA NO SIEMPRE DEBE PREVALECER SOBRE LA UTILIDAD PÚBLICA DE LOS MONTES PÚBLICOS.</w:t>
      </w:r>
    </w:p>
    <w:p>
      <w:pPr>
        <w:pStyle w:val="Normal"/>
        <w:spacing w:lineRule="auto" w:line="240" w:before="0" w:after="0"/>
        <w:jc w:val="both"/>
        <w:rPr>
          <w:b/>
          <w:b/>
          <w:sz w:val="8"/>
          <w:szCs w:val="8"/>
        </w:rPr>
      </w:pPr>
      <w:r>
        <w:rPr>
          <w:b/>
          <w:sz w:val="8"/>
          <w:szCs w:val="8"/>
        </w:rPr>
      </w:r>
    </w:p>
    <w:p>
      <w:pPr>
        <w:pStyle w:val="Normal"/>
        <w:spacing w:lineRule="auto" w:line="240" w:before="0" w:after="0"/>
        <w:jc w:val="both"/>
        <w:rPr>
          <w:b/>
          <w:b/>
          <w:sz w:val="20"/>
          <w:szCs w:val="20"/>
        </w:rPr>
      </w:pPr>
      <w:r>
        <w:rPr>
          <w:b/>
          <w:sz w:val="20"/>
          <w:szCs w:val="20"/>
        </w:rPr>
        <w:t>33.1. Gran parte de los parques eólicos del Clúster se encuentran dentro de Montes de Utilidad Pública:</w:t>
      </w:r>
    </w:p>
    <w:p>
      <w:pPr>
        <w:pStyle w:val="Normal"/>
        <w:spacing w:lineRule="auto" w:line="240" w:before="0" w:after="0"/>
        <w:jc w:val="both"/>
        <w:rPr>
          <w:b/>
          <w:b/>
          <w:sz w:val="20"/>
          <w:szCs w:val="20"/>
        </w:rPr>
      </w:pPr>
      <w:r>
        <w:rPr/>
        <w:drawing>
          <wp:inline distT="0" distB="0" distL="0" distR="0">
            <wp:extent cx="5400040" cy="4589780"/>
            <wp:effectExtent l="0" t="0" r="0" b="0"/>
            <wp:docPr id="20" name="Imagen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13" descr=""/>
                    <pic:cNvPicPr>
                      <a:picLocks noChangeAspect="1" noChangeArrowheads="1"/>
                    </pic:cNvPicPr>
                  </pic:nvPicPr>
                  <pic:blipFill>
                    <a:blip r:embed="rId45"/>
                    <a:stretch>
                      <a:fillRect/>
                    </a:stretch>
                  </pic:blipFill>
                  <pic:spPr bwMode="auto">
                    <a:xfrm>
                      <a:off x="0" y="0"/>
                      <a:ext cx="5400040" cy="4589780"/>
                    </a:xfrm>
                    <a:prstGeom prst="rect">
                      <a:avLst/>
                    </a:prstGeom>
                  </pic:spPr>
                </pic:pic>
              </a:graphicData>
            </a:graphic>
          </wp:inline>
        </w:drawing>
      </w:r>
    </w:p>
    <w:p>
      <w:pPr>
        <w:pStyle w:val="Normal"/>
        <w:spacing w:lineRule="auto" w:line="240" w:before="0" w:after="0"/>
        <w:jc w:val="both"/>
        <w:rPr>
          <w:b/>
          <w:b/>
          <w:sz w:val="20"/>
          <w:szCs w:val="20"/>
        </w:rPr>
      </w:pPr>
      <w:r>
        <w:rPr>
          <w:b/>
          <w:sz w:val="20"/>
          <w:szCs w:val="20"/>
        </w:rPr>
      </w:r>
    </w:p>
    <w:p>
      <w:pPr>
        <w:pStyle w:val="Normal"/>
        <w:spacing w:lineRule="auto" w:line="240" w:before="0" w:after="0"/>
        <w:jc w:val="both"/>
        <w:rPr>
          <w:b/>
          <w:b/>
          <w:sz w:val="20"/>
          <w:szCs w:val="20"/>
        </w:rPr>
      </w:pPr>
      <w:r>
        <w:rPr>
          <w:b/>
          <w:sz w:val="20"/>
          <w:szCs w:val="20"/>
        </w:rPr>
        <w:t>De los 20 parques eólicos con autorización administrativa previa, los siguientes ocupan Montes de utilidad pública:</w:t>
      </w:r>
    </w:p>
    <w:p>
      <w:pPr>
        <w:pStyle w:val="Normal"/>
        <w:spacing w:lineRule="auto" w:line="240" w:before="0" w:after="0"/>
        <w:jc w:val="both"/>
        <w:rPr>
          <w:b/>
          <w:b/>
          <w:sz w:val="8"/>
          <w:szCs w:val="8"/>
        </w:rPr>
      </w:pPr>
      <w:r>
        <w:rPr>
          <w:b/>
          <w:sz w:val="8"/>
          <w:szCs w:val="8"/>
        </w:rPr>
      </w:r>
    </w:p>
    <w:p>
      <w:pPr>
        <w:pStyle w:val="Normal"/>
        <w:spacing w:lineRule="auto" w:line="240" w:before="0" w:after="0"/>
        <w:ind w:left="708" w:hanging="0"/>
        <w:jc w:val="both"/>
        <w:rPr>
          <w:b/>
          <w:b/>
          <w:sz w:val="20"/>
          <w:szCs w:val="20"/>
          <w:lang w:val="en-US"/>
        </w:rPr>
      </w:pPr>
      <w:r>
        <w:rPr>
          <w:b/>
          <w:sz w:val="20"/>
          <w:szCs w:val="20"/>
          <w:lang w:val="en-US"/>
        </w:rPr>
        <w:t>-Cid I</w:t>
      </w:r>
    </w:p>
    <w:p>
      <w:pPr>
        <w:pStyle w:val="Normal"/>
        <w:spacing w:lineRule="auto" w:line="240" w:before="0" w:after="0"/>
        <w:ind w:left="708" w:hanging="0"/>
        <w:jc w:val="both"/>
        <w:rPr>
          <w:b/>
          <w:b/>
          <w:sz w:val="20"/>
          <w:szCs w:val="20"/>
          <w:lang w:val="en-US"/>
        </w:rPr>
      </w:pPr>
      <w:r>
        <w:rPr>
          <w:b/>
          <w:sz w:val="20"/>
          <w:szCs w:val="20"/>
          <w:lang w:val="en-US"/>
        </w:rPr>
        <w:t>-Concejo I</w:t>
      </w:r>
    </w:p>
    <w:p>
      <w:pPr>
        <w:pStyle w:val="Normal"/>
        <w:spacing w:lineRule="auto" w:line="240" w:before="0" w:after="0"/>
        <w:ind w:left="708" w:hanging="0"/>
        <w:jc w:val="both"/>
        <w:rPr>
          <w:b/>
          <w:b/>
          <w:sz w:val="20"/>
          <w:szCs w:val="20"/>
          <w:lang w:val="en-US"/>
        </w:rPr>
      </w:pPr>
      <w:r>
        <w:rPr>
          <w:b/>
          <w:sz w:val="20"/>
          <w:szCs w:val="20"/>
          <w:lang w:val="en-US"/>
        </w:rPr>
        <w:t>-Concejo II</w:t>
      </w:r>
    </w:p>
    <w:p>
      <w:pPr>
        <w:pStyle w:val="Normal"/>
        <w:spacing w:lineRule="auto" w:line="240" w:before="0" w:after="0"/>
        <w:ind w:left="708" w:hanging="0"/>
        <w:jc w:val="both"/>
        <w:rPr>
          <w:b/>
          <w:b/>
          <w:sz w:val="20"/>
          <w:szCs w:val="20"/>
        </w:rPr>
      </w:pPr>
      <w:r>
        <w:rPr>
          <w:b/>
          <w:sz w:val="20"/>
          <w:szCs w:val="20"/>
        </w:rPr>
        <w:t xml:space="preserve">-Concejo III </w:t>
      </w:r>
    </w:p>
    <w:p>
      <w:pPr>
        <w:pStyle w:val="Normal"/>
        <w:spacing w:lineRule="auto" w:line="240" w:before="0" w:after="0"/>
        <w:ind w:left="708" w:hanging="0"/>
        <w:jc w:val="both"/>
        <w:rPr>
          <w:b/>
          <w:b/>
          <w:sz w:val="20"/>
          <w:szCs w:val="20"/>
        </w:rPr>
      </w:pPr>
      <w:r>
        <w:rPr>
          <w:b/>
          <w:sz w:val="20"/>
          <w:szCs w:val="20"/>
        </w:rPr>
        <w:t xml:space="preserve">-Cabecero III </w:t>
      </w:r>
    </w:p>
    <w:p>
      <w:pPr>
        <w:pStyle w:val="Normal"/>
        <w:spacing w:lineRule="auto" w:line="240" w:before="0" w:after="0"/>
        <w:ind w:left="708" w:hanging="0"/>
        <w:jc w:val="both"/>
        <w:rPr>
          <w:b/>
          <w:b/>
          <w:sz w:val="20"/>
          <w:szCs w:val="20"/>
        </w:rPr>
      </w:pPr>
      <w:r>
        <w:rPr>
          <w:b/>
          <w:sz w:val="20"/>
          <w:szCs w:val="20"/>
        </w:rPr>
        <w:t>-Estrella I</w:t>
      </w:r>
    </w:p>
    <w:p>
      <w:pPr>
        <w:pStyle w:val="Normal"/>
        <w:spacing w:lineRule="auto" w:line="240" w:before="0" w:after="0"/>
        <w:ind w:left="708" w:hanging="0"/>
        <w:jc w:val="both"/>
        <w:rPr>
          <w:b/>
          <w:b/>
          <w:sz w:val="20"/>
          <w:szCs w:val="20"/>
        </w:rPr>
      </w:pPr>
      <w:r>
        <w:rPr>
          <w:b/>
          <w:sz w:val="20"/>
          <w:szCs w:val="20"/>
        </w:rPr>
        <w:t>-Estrella II</w:t>
      </w:r>
    </w:p>
    <w:p>
      <w:pPr>
        <w:pStyle w:val="Normal"/>
        <w:spacing w:lineRule="auto" w:line="240" w:before="0" w:after="0"/>
        <w:ind w:left="708" w:hanging="0"/>
        <w:jc w:val="both"/>
        <w:rPr>
          <w:b/>
          <w:b/>
          <w:sz w:val="20"/>
          <w:szCs w:val="20"/>
        </w:rPr>
      </w:pPr>
      <w:r>
        <w:rPr>
          <w:b/>
          <w:sz w:val="20"/>
          <w:szCs w:val="20"/>
        </w:rPr>
        <w:t>-Estrella</w:t>
      </w:r>
      <w:r>
        <w:rPr>
          <w:b/>
          <w:i/>
          <w:sz w:val="20"/>
          <w:szCs w:val="20"/>
        </w:rPr>
        <w:t xml:space="preserve"> </w:t>
      </w:r>
      <w:r>
        <w:rPr>
          <w:b/>
          <w:sz w:val="20"/>
          <w:szCs w:val="20"/>
        </w:rPr>
        <w:t>III</w:t>
      </w:r>
    </w:p>
    <w:p>
      <w:pPr>
        <w:pStyle w:val="Normal"/>
        <w:spacing w:lineRule="auto" w:line="240" w:before="0" w:after="0"/>
        <w:ind w:left="708" w:hanging="0"/>
        <w:jc w:val="both"/>
        <w:rPr>
          <w:b/>
          <w:b/>
          <w:sz w:val="20"/>
          <w:szCs w:val="20"/>
        </w:rPr>
      </w:pPr>
      <w:r>
        <w:rPr>
          <w:b/>
          <w:sz w:val="20"/>
          <w:szCs w:val="20"/>
        </w:rPr>
        <w:t>-Estrella IV</w:t>
      </w:r>
    </w:p>
    <w:p>
      <w:pPr>
        <w:pStyle w:val="Normal"/>
        <w:spacing w:lineRule="auto" w:line="240" w:before="0" w:after="0"/>
        <w:ind w:left="708" w:hanging="0"/>
        <w:jc w:val="both"/>
        <w:rPr>
          <w:b/>
          <w:b/>
          <w:sz w:val="20"/>
          <w:szCs w:val="20"/>
        </w:rPr>
      </w:pPr>
      <w:r>
        <w:rPr>
          <w:b/>
          <w:sz w:val="20"/>
          <w:szCs w:val="20"/>
        </w:rPr>
        <w:t>-Vacada II</w:t>
      </w:r>
    </w:p>
    <w:p>
      <w:pPr>
        <w:pStyle w:val="Normal"/>
        <w:spacing w:lineRule="auto" w:line="240" w:before="0" w:after="0"/>
        <w:jc w:val="both"/>
        <w:rPr>
          <w:b/>
          <w:b/>
          <w:sz w:val="20"/>
          <w:szCs w:val="20"/>
        </w:rPr>
      </w:pPr>
      <w:r>
        <w:rPr>
          <w:b/>
          <w:sz w:val="20"/>
          <w:szCs w:val="20"/>
        </w:rPr>
      </w:r>
    </w:p>
    <w:p>
      <w:pPr>
        <w:pStyle w:val="Normal"/>
        <w:spacing w:lineRule="auto" w:line="240" w:before="0" w:after="0"/>
        <w:jc w:val="both"/>
        <w:rPr>
          <w:b/>
          <w:b/>
          <w:sz w:val="20"/>
          <w:szCs w:val="20"/>
        </w:rPr>
      </w:pPr>
      <w:r>
        <w:rPr>
          <w:b/>
          <w:sz w:val="20"/>
          <w:szCs w:val="20"/>
        </w:rPr>
        <w:t>Así, pues, nos encontramos que se está solicitando la utilidad pública para unas instalaciones que se tienen que ubicar en un territorio que ya, por sí, está declarado de utilidad pública.</w:t>
      </w:r>
    </w:p>
    <w:p>
      <w:pPr>
        <w:pStyle w:val="Normal"/>
        <w:spacing w:lineRule="auto" w:line="240" w:before="0" w:after="0"/>
        <w:jc w:val="both"/>
        <w:rPr>
          <w:b/>
          <w:b/>
          <w:sz w:val="20"/>
          <w:szCs w:val="20"/>
        </w:rPr>
      </w:pPr>
      <w:r>
        <w:rPr>
          <w:b/>
          <w:sz w:val="20"/>
          <w:szCs w:val="20"/>
        </w:rPr>
      </w:r>
    </w:p>
    <w:p>
      <w:pPr>
        <w:pStyle w:val="Normal"/>
        <w:spacing w:lineRule="auto" w:line="240" w:before="0" w:after="0"/>
        <w:jc w:val="both"/>
        <w:rPr>
          <w:rFonts w:cs="Arial"/>
          <w:b/>
          <w:b/>
          <w:sz w:val="20"/>
          <w:szCs w:val="20"/>
        </w:rPr>
      </w:pPr>
      <w:r>
        <w:rPr>
          <w:b/>
          <w:sz w:val="20"/>
          <w:szCs w:val="20"/>
        </w:rPr>
        <w:t>Además, entendemos que existe un incumplimiento de los requisitos mínimos para poder declarar la utilidad pública, al no concurrir razones de eficiencia energética, tecnológicas o medioambientales, ni la asistencia de razones justificadas de urgencia o excepcional interés para el suministro de energía eléctrica.</w:t>
      </w:r>
    </w:p>
    <w:p>
      <w:pPr>
        <w:pStyle w:val="Normal"/>
        <w:spacing w:lineRule="auto" w:line="240" w:before="0" w:after="0"/>
        <w:jc w:val="both"/>
        <w:rPr>
          <w:rFonts w:cs="Arial"/>
          <w:b/>
          <w:b/>
          <w:sz w:val="20"/>
          <w:szCs w:val="20"/>
        </w:rPr>
      </w:pPr>
      <w:r>
        <w:rPr>
          <w:rFonts w:cs="Arial"/>
          <w:b/>
          <w:sz w:val="20"/>
          <w:szCs w:val="20"/>
        </w:rPr>
      </w:r>
    </w:p>
    <w:p>
      <w:pPr>
        <w:pStyle w:val="Normal"/>
        <w:spacing w:lineRule="auto" w:line="240" w:before="0" w:after="0"/>
        <w:jc w:val="both"/>
        <w:rPr>
          <w:b/>
          <w:b/>
          <w:sz w:val="20"/>
          <w:szCs w:val="20"/>
        </w:rPr>
      </w:pPr>
      <w:r>
        <w:rPr>
          <w:b/>
          <w:sz w:val="20"/>
          <w:szCs w:val="20"/>
        </w:rPr>
        <w:t>33.2. Por otra parte, el Artículo 4 de la Ley 43/2003, de 21 de noviembre, de Montes, señala:</w:t>
      </w:r>
    </w:p>
    <w:p>
      <w:pPr>
        <w:pStyle w:val="Normal"/>
        <w:spacing w:lineRule="auto" w:line="240" w:before="0" w:after="0"/>
        <w:jc w:val="both"/>
        <w:rPr>
          <w:b/>
          <w:b/>
          <w:sz w:val="8"/>
          <w:szCs w:val="8"/>
        </w:rPr>
      </w:pPr>
      <w:r>
        <w:rPr>
          <w:b/>
          <w:sz w:val="8"/>
          <w:szCs w:val="8"/>
        </w:rPr>
      </w:r>
    </w:p>
    <w:p>
      <w:pPr>
        <w:pStyle w:val="NormalWeb"/>
        <w:shd w:val="clear" w:color="auto" w:fill="FFFFFF"/>
        <w:spacing w:beforeAutospacing="0" w:before="0" w:afterAutospacing="0" w:after="0"/>
        <w:ind w:left="708" w:hanging="0"/>
        <w:jc w:val="both"/>
        <w:rPr>
          <w:rFonts w:ascii="Calibri" w:hAnsi="Calibri" w:asciiTheme="minorHAnsi" w:hAnsiTheme="minorHAnsi"/>
          <w:b/>
          <w:b/>
          <w:i/>
          <w:i/>
          <w:color w:val="222222"/>
          <w:sz w:val="20"/>
          <w:szCs w:val="20"/>
        </w:rPr>
      </w:pPr>
      <w:r>
        <w:rPr>
          <w:rFonts w:ascii="Calibri" w:hAnsi="Calibri" w:asciiTheme="minorHAnsi" w:hAnsiTheme="minorHAnsi"/>
          <w:b/>
          <w:i/>
          <w:color w:val="222222"/>
          <w:sz w:val="20"/>
          <w:szCs w:val="20"/>
        </w:rPr>
        <w:t>“</w:t>
      </w:r>
      <w:r>
        <w:rPr>
          <w:rFonts w:ascii="Calibri" w:hAnsi="Calibri" w:asciiTheme="minorHAnsi" w:hAnsiTheme="minorHAnsi"/>
          <w:b/>
          <w:i/>
          <w:color w:val="222222"/>
          <w:sz w:val="20"/>
          <w:szCs w:val="20"/>
        </w:rPr>
        <w:t>Los montes, independientemente de su titularidad, DESEMPEÑAN UNA FUNCIÓN SOCIAL RELEVANTE, tanto como fuente de recursos naturales y sustento de actividades económicas COMO POR SER PROVEEDORES DE MÚLTIPLES SERVICIOS AMBIENTALES, entre ellos, de protección del suelo y del ciclo hidrológico; de fijación del carbono atmosférico; de depósito de la diversidad biológica y como elementos fundamentales de la conectividad ecológica y del paisaje.</w:t>
      </w:r>
    </w:p>
    <w:p>
      <w:pPr>
        <w:pStyle w:val="NormalWeb"/>
        <w:shd w:val="clear" w:color="auto" w:fill="FFFFFF"/>
        <w:spacing w:beforeAutospacing="0" w:before="0" w:afterAutospacing="0" w:after="0"/>
        <w:ind w:left="708" w:hanging="0"/>
        <w:jc w:val="both"/>
        <w:rPr>
          <w:rFonts w:ascii="Calibri" w:hAnsi="Calibri" w:asciiTheme="minorHAnsi" w:hAnsiTheme="minorHAnsi"/>
          <w:b/>
          <w:b/>
          <w:i/>
          <w:i/>
          <w:color w:val="222222"/>
          <w:sz w:val="20"/>
          <w:szCs w:val="20"/>
          <w:u w:val="single"/>
        </w:rPr>
      </w:pPr>
      <w:r>
        <w:rPr>
          <w:rFonts w:ascii="Calibri" w:hAnsi="Calibri" w:asciiTheme="minorHAnsi" w:hAnsiTheme="minorHAnsi"/>
          <w:b/>
          <w:i/>
          <w:color w:val="222222"/>
          <w:sz w:val="20"/>
          <w:szCs w:val="20"/>
        </w:rPr>
        <w:t xml:space="preserve">El reconocimiento de estos recursos y externalidades, de los que toda la sociedad se beneficia, </w:t>
      </w:r>
      <w:r>
        <w:rPr>
          <w:rFonts w:ascii="Calibri" w:hAnsi="Calibri" w:asciiTheme="minorHAnsi" w:hAnsiTheme="minorHAnsi"/>
          <w:b/>
          <w:i/>
          <w:color w:val="222222"/>
          <w:sz w:val="20"/>
          <w:szCs w:val="20"/>
          <w:u w:val="single"/>
        </w:rPr>
        <w:t>obliga a las Administraciones públicas a velar en todos los casos por su conservación, protección, restauración, mejora y ordenado aprovechamiento”.</w:t>
      </w:r>
    </w:p>
    <w:p>
      <w:pPr>
        <w:pStyle w:val="Normal"/>
        <w:spacing w:lineRule="auto" w:line="240" w:before="0" w:after="0"/>
        <w:jc w:val="center"/>
        <w:rPr>
          <w:rFonts w:cs="Calibri"/>
          <w:b/>
          <w:b/>
          <w:sz w:val="20"/>
          <w:szCs w:val="20"/>
        </w:rPr>
      </w:pPr>
      <w:r>
        <w:rPr>
          <w:rFonts w:cs="Calibri"/>
          <w:b/>
          <w:sz w:val="20"/>
          <w:szCs w:val="20"/>
        </w:rPr>
      </w:r>
    </w:p>
    <w:p>
      <w:pPr>
        <w:pStyle w:val="Normal"/>
        <w:spacing w:lineRule="auto" w:line="240" w:before="0" w:after="0"/>
        <w:jc w:val="both"/>
        <w:rPr>
          <w:rFonts w:cs="Arial"/>
          <w:b/>
          <w:b/>
          <w:sz w:val="20"/>
          <w:szCs w:val="20"/>
        </w:rPr>
      </w:pPr>
      <w:r>
        <w:rPr>
          <w:rFonts w:cs="Arial"/>
          <w:b/>
          <w:sz w:val="20"/>
          <w:szCs w:val="20"/>
        </w:rPr>
        <w:t xml:space="preserve">33.3. La Sala 3ª de lo Contencioso Administrativo del Tribunal Supremo en su sentencia de 24 de mayo de 2011, nº de recurso 3613/2010 en el Fundamento de Derecho Segundo recuerda lo dicho en el Auto del 28 de julio de 2009 por el Tribunal Superior de Justicia de Castilla León: </w:t>
      </w:r>
    </w:p>
    <w:p>
      <w:pPr>
        <w:pStyle w:val="Normal"/>
        <w:spacing w:lineRule="auto" w:line="240" w:before="0" w:after="0"/>
        <w:jc w:val="both"/>
        <w:rPr>
          <w:rFonts w:cs="Arial"/>
          <w:b/>
          <w:b/>
          <w:sz w:val="8"/>
          <w:szCs w:val="8"/>
        </w:rPr>
      </w:pPr>
      <w:r>
        <w:rPr>
          <w:rFonts w:cs="Arial"/>
          <w:b/>
          <w:sz w:val="8"/>
          <w:szCs w:val="8"/>
        </w:rPr>
      </w:r>
    </w:p>
    <w:p>
      <w:pPr>
        <w:pStyle w:val="Normal"/>
        <w:spacing w:lineRule="auto" w:line="240" w:before="0" w:after="0"/>
        <w:ind w:left="708" w:hanging="0"/>
        <w:jc w:val="both"/>
        <w:rPr>
          <w:rFonts w:cs="Arial"/>
          <w:b/>
          <w:b/>
          <w:i/>
          <w:i/>
          <w:sz w:val="20"/>
          <w:szCs w:val="20"/>
        </w:rPr>
      </w:pPr>
      <w:r>
        <w:rPr>
          <w:rFonts w:cs="Arial"/>
          <w:b/>
          <w:i/>
          <w:sz w:val="20"/>
          <w:szCs w:val="20"/>
        </w:rPr>
        <w:t>"(no está acreditado) el interés público de las instalaciones eléctricas a las que se refiere asimismo esa representación, toda vez que el interés público prevalente no es tanto esas instalaciones sino que las mismas se realicen de acuerdo con las previsiones legales, toda vez que el principio de eficacia de la actuación administrativa ha de efectuarse siempre "con sometimiento pleno a la ley y al Derecho", como establece el art. 103 de la Constitución, lo que aquí no concurre".</w:t>
      </w:r>
    </w:p>
    <w:p>
      <w:pPr>
        <w:pStyle w:val="Normal"/>
        <w:spacing w:lineRule="auto" w:line="240" w:before="0" w:after="0"/>
        <w:jc w:val="center"/>
        <w:rPr>
          <w:rFonts w:cs="Calibri"/>
          <w:b/>
          <w:b/>
          <w:sz w:val="20"/>
          <w:szCs w:val="20"/>
        </w:rPr>
      </w:pPr>
      <w:r>
        <w:rPr>
          <w:rFonts w:cs="Calibri"/>
          <w:b/>
          <w:sz w:val="20"/>
          <w:szCs w:val="20"/>
        </w:rPr>
      </w:r>
    </w:p>
    <w:p>
      <w:pPr>
        <w:pStyle w:val="Normal"/>
        <w:spacing w:lineRule="auto" w:line="240" w:before="0" w:after="0"/>
        <w:jc w:val="both"/>
        <w:rPr>
          <w:rFonts w:cs="Arial"/>
          <w:b/>
          <w:b/>
          <w:sz w:val="20"/>
          <w:szCs w:val="20"/>
        </w:rPr>
      </w:pPr>
      <w:r>
        <w:rPr>
          <w:rFonts w:cs="Arial"/>
          <w:b/>
          <w:sz w:val="20"/>
          <w:szCs w:val="20"/>
        </w:rPr>
        <w:t>33.4. La Sentencia de 28 de marzo de 2007 del Tribunal Supremo, Sala III de lo Contencioso Administrativo incide en los fundamentos de derecho en la “vulneración de los artículos 20 de la Ley de Montes y 168 a 177 de su Reglamento, pues la recurrente (empresa eólica) no deja de ser una entidad privada, de carácter mercantil y no una institución o una administración pública, por muy esencial que se defina su objeto social de producción de energía eléctrica”</w:t>
      </w:r>
    </w:p>
    <w:p>
      <w:pPr>
        <w:pStyle w:val="Normal"/>
        <w:spacing w:lineRule="auto" w:line="240" w:before="0" w:after="0"/>
        <w:jc w:val="both"/>
        <w:rPr>
          <w:rStyle w:val="A12"/>
          <w:rFonts w:cs="Arial"/>
          <w:b/>
          <w:b/>
          <w:color w:val="auto"/>
          <w:u w:val="single"/>
        </w:rPr>
      </w:pPr>
      <w:r>
        <w:rPr>
          <w:rFonts w:cs="Arial"/>
          <w:b/>
          <w:color w:val="auto"/>
          <w:u w:val="single"/>
        </w:rPr>
      </w:r>
    </w:p>
    <w:p>
      <w:pPr>
        <w:pStyle w:val="Normal"/>
        <w:spacing w:lineRule="auto" w:line="240" w:before="0" w:after="0"/>
        <w:jc w:val="both"/>
        <w:rPr>
          <w:rFonts w:cs="Calibri"/>
          <w:b/>
          <w:b/>
          <w:sz w:val="20"/>
          <w:szCs w:val="20"/>
        </w:rPr>
      </w:pPr>
      <w:r>
        <w:rPr>
          <w:rFonts w:cs="Calibri"/>
          <w:b/>
          <w:sz w:val="20"/>
          <w:szCs w:val="20"/>
        </w:rPr>
        <w:t>33.5. A este respecto, es importante la sentencia del Tribunal Supremo de 2 de marzo de 2011, que afirma la necesidad de un juicio de contraste entre la utilidad pública de un parque eólico y la de un monte. Tanto para el TSJ de Galicia como para el Tribunal Supremo, la declaración de prevalencia exige ir acompañada de un estudio técnico, que admita una contradicción técnica por otras partes interesadas. Al no existir dicho estudio, ambos tribunales anularon la declaración y ordenaron la reposición del monte a su estado anterior. El fallo afirma que, aparte de los intereses propios de los productores y de los titulares de los terrenos forestales, existe un interés general de conservación del medio ambiente que tiene que defender toda la Administración (no sólo la ambiental).</w:t>
      </w:r>
    </w:p>
    <w:p>
      <w:pPr>
        <w:pStyle w:val="Normal"/>
        <w:spacing w:lineRule="auto" w:line="240" w:before="0" w:after="0"/>
        <w:jc w:val="center"/>
        <w:rPr>
          <w:rFonts w:cs="Calibri"/>
          <w:b/>
          <w:b/>
          <w:sz w:val="20"/>
          <w:szCs w:val="20"/>
        </w:rPr>
      </w:pPr>
      <w:r>
        <w:rPr>
          <w:rFonts w:cs="Calibri"/>
          <w:b/>
          <w:sz w:val="20"/>
          <w:szCs w:val="20"/>
        </w:rPr>
      </w:r>
    </w:p>
    <w:p>
      <w:pPr>
        <w:pStyle w:val="Normal"/>
        <w:spacing w:lineRule="auto" w:line="240" w:before="0" w:after="0"/>
        <w:jc w:val="both"/>
        <w:rPr>
          <w:rFonts w:cs="Calibri"/>
          <w:b/>
          <w:b/>
          <w:sz w:val="20"/>
          <w:szCs w:val="20"/>
        </w:rPr>
      </w:pPr>
      <w:r>
        <w:rPr>
          <w:rFonts w:cs="Calibri"/>
          <w:b/>
          <w:sz w:val="20"/>
          <w:szCs w:val="20"/>
        </w:rPr>
        <w:t>Así pues, la utilidad pública de una central eléctrica no debería prevalecer de manera absoluta ya que dos bienes jurídicos a proteger  (el interés natural, paisajístico y forestal de un Monte de utilidad pública, por un lado, y la utilidad pública que tienen las energías renovables como medio de producción eléctrica, por otro).</w:t>
      </w:r>
    </w:p>
    <w:p>
      <w:pPr>
        <w:pStyle w:val="Normal"/>
        <w:spacing w:lineRule="auto" w:line="240" w:before="0" w:after="0"/>
        <w:jc w:val="both"/>
        <w:rPr>
          <w:rFonts w:cs="Calibri"/>
          <w:b/>
          <w:b/>
          <w:sz w:val="20"/>
          <w:szCs w:val="20"/>
        </w:rPr>
      </w:pPr>
      <w:r>
        <w:rPr>
          <w:rFonts w:cs="Calibri"/>
          <w:b/>
          <w:sz w:val="20"/>
          <w:szCs w:val="20"/>
        </w:rPr>
      </w:r>
    </w:p>
    <w:p>
      <w:pPr>
        <w:pStyle w:val="Normal"/>
        <w:spacing w:lineRule="auto" w:line="240" w:before="0" w:after="0"/>
        <w:jc w:val="center"/>
        <w:rPr>
          <w:rFonts w:cs="Calibri"/>
          <w:b/>
          <w:b/>
          <w:sz w:val="20"/>
          <w:szCs w:val="20"/>
        </w:rPr>
      </w:pPr>
      <w:r>
        <w:rPr>
          <w:rFonts w:cs="Calibri"/>
          <w:b/>
          <w:sz w:val="20"/>
          <w:szCs w:val="20"/>
        </w:rPr>
        <w:t>Teruel a 20 de junio de 2023</w:t>
      </w:r>
    </w:p>
    <w:sectPr>
      <w:type w:val="nextPage"/>
      <w:pgSz w:w="11906" w:h="16838"/>
      <w:pgMar w:left="1701" w:right="1701" w:header="0" w:top="1417" w:footer="0" w:bottom="141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Liberation Sans">
    <w:altName w:val="Arial"/>
    <w:charset w:val="00"/>
    <w:family w:val="swiss"/>
    <w:pitch w:val="variable"/>
  </w:font>
  <w:font w:name="Arial">
    <w:charset w:val="00"/>
    <w:family w:val="roman"/>
    <w:pitch w:val="variable"/>
  </w:font>
  <w:font w:name="Arimo">
    <w:altName w:val="arial"/>
    <w:charset w:val="00"/>
    <w:family w:val="roman"/>
    <w:pitch w:val="variable"/>
  </w:font>
  <w:font w:name="Tahoma">
    <w:charset w:val="00"/>
    <w:family w:val="roman"/>
    <w:pitch w:val="variable"/>
  </w:font>
  <w:font w:name="DejaVuSans">
    <w:charset w:val="00"/>
    <w:family w:val="roman"/>
    <w:pitch w:val="variable"/>
  </w:font>
  <w:font w:name="DejaVuSans-Oblique">
    <w:charset w:val="00"/>
    <w:family w:val="roman"/>
    <w:pitch w:val="variable"/>
  </w:font>
  <w:font w:name="OBIPG C+ Century Schoolbook">
    <w:charset w:val="00"/>
    <w:family w:val="roman"/>
    <w:pitch w:val="variable"/>
  </w:font>
</w:fonts>
</file>

<file path=word/settings.xml><?xml version="1.0" encoding="utf-8"?>
<w:settings xmlns:w="http://schemas.openxmlformats.org/wordprocessingml/2006/main">
  <w:zoom w:percent="131"/>
  <w:defaultTabStop w:val="708"/>
  <w:autoHyphenation w:val="true"/>
  <w:compat>
    <w:compatSetting w:name="compatibilityMode" w:uri="http://schemas.microsoft.com/office/word" w:val="12"/>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E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Body Text Indent 2" w:uiPriority="0"/>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d85a7c"/>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s-ES" w:eastAsia="en-US" w:bidi="ar-SA"/>
    </w:rPr>
  </w:style>
  <w:style w:type="paragraph" w:styleId="Ttulo1">
    <w:name w:val="Heading 1"/>
    <w:basedOn w:val="Normal"/>
    <w:next w:val="Normal"/>
    <w:link w:val="Ttulo1Car"/>
    <w:uiPriority w:val="9"/>
    <w:qFormat/>
    <w:rsid w:val="00373bac"/>
    <w:pPr>
      <w:keepNext w:val="true"/>
      <w:keepLines/>
      <w:spacing w:before="480" w:after="0"/>
      <w:outlineLvl w:val="0"/>
    </w:pPr>
    <w:rPr>
      <w:rFonts w:ascii="Cambria" w:hAnsi="Cambria" w:eastAsia="" w:cs="" w:asciiTheme="majorHAnsi" w:cstheme="majorBidi" w:eastAsiaTheme="majorEastAsia" w:hAnsiTheme="majorHAnsi"/>
      <w:b/>
      <w:bCs/>
      <w:color w:val="365F91" w:themeColor="accent1" w:themeShade="bf"/>
      <w:sz w:val="28"/>
      <w:szCs w:val="28"/>
    </w:rPr>
  </w:style>
  <w:style w:type="paragraph" w:styleId="Ttulo2">
    <w:name w:val="Heading 2"/>
    <w:basedOn w:val="Normal"/>
    <w:next w:val="Normal"/>
    <w:link w:val="Ttulo2Car"/>
    <w:uiPriority w:val="9"/>
    <w:semiHidden/>
    <w:unhideWhenUsed/>
    <w:qFormat/>
    <w:rsid w:val="004a4f1a"/>
    <w:pPr>
      <w:keepNext w:val="true"/>
      <w:keepLines/>
      <w:spacing w:before="200" w:after="0"/>
      <w:outlineLvl w:val="1"/>
    </w:pPr>
    <w:rPr>
      <w:rFonts w:ascii="Cambria" w:hAnsi="Cambria" w:eastAsia="" w:cs="" w:asciiTheme="majorHAnsi" w:cstheme="majorBidi" w:eastAsiaTheme="majorEastAsia" w:hAnsiTheme="majorHAnsi"/>
      <w:b/>
      <w:bCs/>
      <w:color w:val="4F81BD" w:themeColor="accent1"/>
      <w:sz w:val="26"/>
      <w:szCs w:val="26"/>
    </w:rPr>
  </w:style>
  <w:style w:type="paragraph" w:styleId="Ttulo3">
    <w:name w:val="Heading 3"/>
    <w:basedOn w:val="Normal"/>
    <w:next w:val="Normal"/>
    <w:link w:val="Ttulo3Car"/>
    <w:uiPriority w:val="9"/>
    <w:semiHidden/>
    <w:unhideWhenUsed/>
    <w:qFormat/>
    <w:rsid w:val="003e5c6b"/>
    <w:pPr>
      <w:keepNext w:val="true"/>
      <w:keepLines/>
      <w:spacing w:before="200" w:after="0"/>
      <w:outlineLvl w:val="2"/>
    </w:pPr>
    <w:rPr>
      <w:rFonts w:ascii="Cambria" w:hAnsi="Cambria" w:eastAsia="" w:cs="" w:asciiTheme="majorHAnsi" w:cstheme="majorBidi" w:eastAsiaTheme="majorEastAsia" w:hAnsiTheme="majorHAnsi"/>
      <w:b/>
      <w:bCs/>
      <w:color w:val="4F81BD" w:themeColor="accent1"/>
    </w:rPr>
  </w:style>
  <w:style w:type="paragraph" w:styleId="Ttulo5">
    <w:name w:val="Heading 5"/>
    <w:basedOn w:val="Normal"/>
    <w:next w:val="Normal"/>
    <w:link w:val="Ttulo5Car"/>
    <w:uiPriority w:val="9"/>
    <w:semiHidden/>
    <w:unhideWhenUsed/>
    <w:qFormat/>
    <w:rsid w:val="00583dda"/>
    <w:pPr>
      <w:keepNext w:val="true"/>
      <w:keepLines/>
      <w:spacing w:before="200" w:after="0"/>
      <w:outlineLvl w:val="4"/>
    </w:pPr>
    <w:rPr>
      <w:rFonts w:ascii="Cambria" w:hAnsi="Cambria" w:eastAsia="" w:cs="" w:asciiTheme="majorHAnsi" w:cstheme="majorBidi" w:eastAsiaTheme="majorEastAsia" w:hAnsiTheme="majorHAnsi"/>
      <w:color w:val="243F60" w:themeColor="accent1" w:themeShade="7f"/>
    </w:rPr>
  </w:style>
  <w:style w:type="character" w:styleId="DefaultParagraphFont" w:default="1">
    <w:name w:val="Default Paragraph Font"/>
    <w:uiPriority w:val="1"/>
    <w:semiHidden/>
    <w:unhideWhenUsed/>
    <w:qFormat/>
    <w:rPr/>
  </w:style>
  <w:style w:type="character" w:styleId="Markedcontent" w:customStyle="1">
    <w:name w:val="markedcontent"/>
    <w:basedOn w:val="DefaultParagraphFont"/>
    <w:qFormat/>
    <w:rsid w:val="00ca3330"/>
    <w:rPr/>
  </w:style>
  <w:style w:type="character" w:styleId="Destacado">
    <w:name w:val="Destacado"/>
    <w:basedOn w:val="DefaultParagraphFont"/>
    <w:uiPriority w:val="20"/>
    <w:qFormat/>
    <w:rsid w:val="000047ec"/>
    <w:rPr>
      <w:i/>
      <w:iCs/>
    </w:rPr>
  </w:style>
  <w:style w:type="character" w:styleId="Ttulo5Car" w:customStyle="1">
    <w:name w:val="Título 5 Car"/>
    <w:basedOn w:val="DefaultParagraphFont"/>
    <w:link w:val="Ttulo5"/>
    <w:uiPriority w:val="9"/>
    <w:semiHidden/>
    <w:qFormat/>
    <w:rsid w:val="00583dda"/>
    <w:rPr>
      <w:rFonts w:ascii="Cambria" w:hAnsi="Cambria" w:eastAsia="" w:cs="" w:asciiTheme="majorHAnsi" w:cstheme="majorBidi" w:eastAsiaTheme="majorEastAsia" w:hAnsiTheme="majorHAnsi"/>
      <w:color w:val="243F60" w:themeColor="accent1" w:themeShade="7f"/>
    </w:rPr>
  </w:style>
  <w:style w:type="character" w:styleId="EnlacedeInternet">
    <w:name w:val="Enlace de Internet"/>
    <w:basedOn w:val="DefaultParagraphFont"/>
    <w:uiPriority w:val="99"/>
    <w:unhideWhenUsed/>
    <w:rsid w:val="00583dda"/>
    <w:rPr>
      <w:color w:val="0000FF"/>
      <w:u w:val="single"/>
    </w:rPr>
  </w:style>
  <w:style w:type="character" w:styleId="Ttulo3Car" w:customStyle="1">
    <w:name w:val="Título 3 Car"/>
    <w:basedOn w:val="DefaultParagraphFont"/>
    <w:link w:val="Ttulo3"/>
    <w:uiPriority w:val="9"/>
    <w:semiHidden/>
    <w:qFormat/>
    <w:rsid w:val="003e5c6b"/>
    <w:rPr>
      <w:rFonts w:ascii="Cambria" w:hAnsi="Cambria" w:eastAsia="" w:cs="" w:asciiTheme="majorHAnsi" w:cstheme="majorBidi" w:eastAsiaTheme="majorEastAsia" w:hAnsiTheme="majorHAnsi"/>
      <w:b/>
      <w:bCs/>
      <w:color w:val="4F81BD" w:themeColor="accent1"/>
    </w:rPr>
  </w:style>
  <w:style w:type="character" w:styleId="Strong">
    <w:name w:val="Strong"/>
    <w:basedOn w:val="DefaultParagraphFont"/>
    <w:uiPriority w:val="22"/>
    <w:qFormat/>
    <w:rsid w:val="0073489c"/>
    <w:rPr>
      <w:b/>
      <w:bCs/>
    </w:rPr>
  </w:style>
  <w:style w:type="character" w:styleId="Sangra2detindependienteCar" w:customStyle="1">
    <w:name w:val="Sangría 2 de t. independiente Car"/>
    <w:basedOn w:val="DefaultParagraphFont"/>
    <w:link w:val="Sangra2detindependiente"/>
    <w:qFormat/>
    <w:rsid w:val="0073489c"/>
    <w:rPr>
      <w:rFonts w:ascii="Times New Roman" w:hAnsi="Times New Roman" w:eastAsia="Times New Roman" w:cs="Times New Roman"/>
      <w:sz w:val="24"/>
      <w:szCs w:val="24"/>
      <w:lang w:eastAsia="es-ES"/>
    </w:rPr>
  </w:style>
  <w:style w:type="character" w:styleId="Highlight" w:customStyle="1">
    <w:name w:val="highlight"/>
    <w:basedOn w:val="DefaultParagraphFont"/>
    <w:qFormat/>
    <w:rsid w:val="00104047"/>
    <w:rPr/>
  </w:style>
  <w:style w:type="character" w:styleId="Ttulo2Car" w:customStyle="1">
    <w:name w:val="Título 2 Car"/>
    <w:basedOn w:val="DefaultParagraphFont"/>
    <w:link w:val="Ttulo2"/>
    <w:uiPriority w:val="9"/>
    <w:semiHidden/>
    <w:qFormat/>
    <w:rsid w:val="004a4f1a"/>
    <w:rPr>
      <w:rFonts w:ascii="Cambria" w:hAnsi="Cambria" w:eastAsia="" w:cs="" w:asciiTheme="majorHAnsi" w:cstheme="majorBidi" w:eastAsiaTheme="majorEastAsia" w:hAnsiTheme="majorHAnsi"/>
      <w:b/>
      <w:bCs/>
      <w:color w:val="4F81BD" w:themeColor="accent1"/>
      <w:sz w:val="26"/>
      <w:szCs w:val="26"/>
    </w:rPr>
  </w:style>
  <w:style w:type="character" w:styleId="Ttulo1Car" w:customStyle="1">
    <w:name w:val="Título 1 Car"/>
    <w:basedOn w:val="DefaultParagraphFont"/>
    <w:link w:val="Ttulo1"/>
    <w:uiPriority w:val="9"/>
    <w:qFormat/>
    <w:rsid w:val="00373bac"/>
    <w:rPr>
      <w:rFonts w:ascii="Cambria" w:hAnsi="Cambria" w:eastAsia="" w:cs="" w:asciiTheme="majorHAnsi" w:cstheme="majorBidi" w:eastAsiaTheme="majorEastAsia" w:hAnsiTheme="majorHAnsi"/>
      <w:b/>
      <w:bCs/>
      <w:color w:val="365F91" w:themeColor="accent1" w:themeShade="bf"/>
      <w:sz w:val="28"/>
      <w:szCs w:val="28"/>
    </w:rPr>
  </w:style>
  <w:style w:type="character" w:styleId="A12" w:customStyle="1">
    <w:name w:val="A12"/>
    <w:uiPriority w:val="99"/>
    <w:qFormat/>
    <w:rsid w:val="00640361"/>
    <w:rPr>
      <w:rFonts w:cs="New Aster"/>
      <w:color w:val="000000"/>
      <w:sz w:val="20"/>
      <w:szCs w:val="20"/>
    </w:rPr>
  </w:style>
  <w:style w:type="paragraph" w:styleId="Ttulo">
    <w:name w:val="Título"/>
    <w:basedOn w:val="Normal"/>
    <w:next w:val="Cuerpodetexto"/>
    <w:qFormat/>
    <w:pPr>
      <w:keepNext w:val="true"/>
      <w:spacing w:before="240" w:after="120"/>
    </w:pPr>
    <w:rPr>
      <w:rFonts w:ascii="Liberation Sans" w:hAnsi="Liberation Sans" w:eastAsia="Microsoft YaHei" w:cs="Arial"/>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w:rPr>
  </w:style>
  <w:style w:type="paragraph" w:styleId="Ley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Default" w:customStyle="1">
    <w:name w:val="Default"/>
    <w:qFormat/>
    <w:rsid w:val="00ca3330"/>
    <w:pPr>
      <w:widowControl/>
      <w:bidi w:val="0"/>
      <w:spacing w:lineRule="auto" w:line="240" w:before="0" w:after="0"/>
      <w:jc w:val="left"/>
    </w:pPr>
    <w:rPr>
      <w:rFonts w:ascii="Arial" w:hAnsi="Arial" w:cs="Arial" w:eastAsia="Calibri"/>
      <w:color w:val="000000"/>
      <w:kern w:val="0"/>
      <w:sz w:val="24"/>
      <w:szCs w:val="24"/>
      <w:lang w:val="es-ES" w:eastAsia="en-US" w:bidi="ar-SA"/>
    </w:rPr>
  </w:style>
  <w:style w:type="paragraph" w:styleId="NormalWeb">
    <w:name w:val="Normal (Web)"/>
    <w:basedOn w:val="Normal"/>
    <w:uiPriority w:val="99"/>
    <w:unhideWhenUsed/>
    <w:qFormat/>
    <w:rsid w:val="000047ec"/>
    <w:pPr>
      <w:spacing w:lineRule="auto" w:line="240" w:beforeAutospacing="1" w:afterAutospacing="1"/>
    </w:pPr>
    <w:rPr>
      <w:rFonts w:ascii="Times New Roman" w:hAnsi="Times New Roman" w:eastAsia="Times New Roman" w:cs="Times New Roman"/>
      <w:sz w:val="24"/>
      <w:szCs w:val="24"/>
      <w:lang w:eastAsia="es-ES"/>
    </w:rPr>
  </w:style>
  <w:style w:type="paragraph" w:styleId="Parrafo" w:customStyle="1">
    <w:name w:val="parrafo"/>
    <w:basedOn w:val="Normal"/>
    <w:qFormat/>
    <w:rsid w:val="00583dda"/>
    <w:pPr>
      <w:spacing w:lineRule="auto" w:line="240" w:beforeAutospacing="1" w:afterAutospacing="1"/>
    </w:pPr>
    <w:rPr>
      <w:rFonts w:ascii="Times New Roman" w:hAnsi="Times New Roman" w:eastAsia="Times New Roman" w:cs="Times New Roman"/>
      <w:sz w:val="24"/>
      <w:szCs w:val="24"/>
      <w:lang w:eastAsia="es-ES"/>
    </w:rPr>
  </w:style>
  <w:style w:type="paragraph" w:styleId="Pa6" w:customStyle="1">
    <w:name w:val="Pa6"/>
    <w:basedOn w:val="Default"/>
    <w:next w:val="Default"/>
    <w:uiPriority w:val="99"/>
    <w:qFormat/>
    <w:rsid w:val="00583dda"/>
    <w:pPr>
      <w:spacing w:lineRule="atLeast" w:line="201"/>
    </w:pPr>
    <w:rPr>
      <w:color w:val="auto"/>
    </w:rPr>
  </w:style>
  <w:style w:type="paragraph" w:styleId="Pa1" w:customStyle="1">
    <w:name w:val="Pa1"/>
    <w:basedOn w:val="Normal"/>
    <w:next w:val="Normal"/>
    <w:uiPriority w:val="99"/>
    <w:qFormat/>
    <w:rsid w:val="00583dda"/>
    <w:pPr>
      <w:spacing w:lineRule="atLeast" w:line="201" w:before="0" w:after="0"/>
    </w:pPr>
    <w:rPr>
      <w:rFonts w:ascii="Arial" w:hAnsi="Arial" w:cs="Arial"/>
      <w:sz w:val="24"/>
      <w:szCs w:val="24"/>
    </w:rPr>
  </w:style>
  <w:style w:type="paragraph" w:styleId="Pa7" w:customStyle="1">
    <w:name w:val="Pa7"/>
    <w:basedOn w:val="Default"/>
    <w:next w:val="Default"/>
    <w:uiPriority w:val="99"/>
    <w:qFormat/>
    <w:rsid w:val="0073489c"/>
    <w:pPr>
      <w:spacing w:lineRule="atLeast" w:line="201"/>
    </w:pPr>
    <w:rPr>
      <w:color w:val="auto"/>
    </w:rPr>
  </w:style>
  <w:style w:type="paragraph" w:styleId="BodyTextIndent2">
    <w:name w:val="Body Text Indent 2"/>
    <w:basedOn w:val="Normal"/>
    <w:link w:val="Sangra2detindependienteCar"/>
    <w:qFormat/>
    <w:rsid w:val="0073489c"/>
    <w:pPr>
      <w:spacing w:lineRule="auto" w:line="480" w:before="0" w:after="120"/>
      <w:ind w:left="283" w:hanging="0"/>
    </w:pPr>
    <w:rPr>
      <w:rFonts w:ascii="Times New Roman" w:hAnsi="Times New Roman" w:eastAsia="Times New Roman" w:cs="Times New Roman"/>
      <w:sz w:val="24"/>
      <w:szCs w:val="24"/>
      <w:lang w:eastAsia="es-ES"/>
    </w:rPr>
  </w:style>
  <w:style w:type="paragraph" w:styleId="Sangrado" w:customStyle="1">
    <w:name w:val="sangrado"/>
    <w:basedOn w:val="Normal"/>
    <w:qFormat/>
    <w:rsid w:val="001c0e5d"/>
    <w:pPr>
      <w:spacing w:lineRule="auto" w:line="240" w:beforeAutospacing="1" w:afterAutospacing="1"/>
    </w:pPr>
    <w:rPr>
      <w:rFonts w:ascii="Times New Roman" w:hAnsi="Times New Roman" w:eastAsia="Times New Roman" w:cs="Times New Roman"/>
      <w:sz w:val="24"/>
      <w:szCs w:val="24"/>
      <w:lang w:eastAsia="es-ES"/>
    </w:rPr>
  </w:style>
  <w:style w:type="paragraph" w:styleId="A" w:customStyle="1">
    <w:name w:val="a"/>
    <w:basedOn w:val="Normal"/>
    <w:qFormat/>
    <w:rsid w:val="001c2f5b"/>
    <w:pPr>
      <w:spacing w:lineRule="auto" w:line="240" w:beforeAutospacing="1" w:afterAutospacing="1"/>
    </w:pPr>
    <w:rPr>
      <w:rFonts w:ascii="Times New Roman" w:hAnsi="Times New Roman" w:eastAsia="Times New Roman" w:cs="Times New Roman"/>
      <w:sz w:val="24"/>
      <w:szCs w:val="24"/>
      <w:lang w:eastAsia="es-ES"/>
    </w:rPr>
  </w:style>
  <w:style w:type="paragraph" w:styleId="Xdef" w:customStyle="1">
    <w:name w:val="xdef"/>
    <w:basedOn w:val="Normal"/>
    <w:qFormat/>
    <w:rsid w:val="004a4f1a"/>
    <w:pPr>
      <w:spacing w:lineRule="auto" w:line="240" w:beforeAutospacing="1" w:afterAutospacing="1"/>
    </w:pPr>
    <w:rPr>
      <w:rFonts w:ascii="Times New Roman" w:hAnsi="Times New Roman" w:eastAsia="Times New Roman" w:cs="Times New Roman"/>
      <w:sz w:val="24"/>
      <w:szCs w:val="24"/>
      <w:lang w:eastAsia="es-ES"/>
    </w:rPr>
  </w:style>
  <w:style w:type="paragraph" w:styleId="Normal1" w:customStyle="1">
    <w:name w:val="LO-normal"/>
    <w:qFormat/>
    <w:rsid w:val="00b22369"/>
    <w:pPr>
      <w:widowControl/>
      <w:bidi w:val="0"/>
      <w:spacing w:lineRule="auto" w:line="276" w:before="0" w:after="0"/>
      <w:jc w:val="left"/>
    </w:pPr>
    <w:rPr>
      <w:rFonts w:ascii="Arial" w:hAnsi="Arial" w:eastAsia="Arial" w:cs="Arial"/>
      <w:color w:val="auto"/>
      <w:kern w:val="0"/>
      <w:sz w:val="22"/>
      <w:szCs w:val="22"/>
      <w:lang w:eastAsia="es-ES" w:val="es-ES" w:bidi="ar-SA"/>
    </w:rPr>
  </w:style>
  <w:style w:type="numbering" w:styleId="NoList" w:default="1">
    <w:name w:val="No List"/>
    <w:uiPriority w:val="99"/>
    <w:semiHidden/>
    <w:unhideWhenUsed/>
    <w:qFormat/>
  </w:style>
  <w:style w:type="table" w:default="1" w:styleId="Tablanormal">
    <w:name w:val="Normal Table"/>
    <w:uiPriority w:val="99"/>
    <w:semiHidden/>
    <w:unhideWhenUsed/>
    <w:qFormat/>
    <w:tblPr>
      <w:tblCellMar>
        <w:top w:w="0" w:type="dxa"/>
        <w:left w:w="108" w:type="dxa"/>
        <w:bottom w:w="0" w:type="dxa"/>
        <w:right w:w="108" w:type="dxa"/>
      </w:tblCellMar>
    </w:tblPr>
  </w:style>
  <w:style w:type="table" w:styleId="Tablaconcuadrcula">
    <w:name w:val="Table Grid"/>
    <w:basedOn w:val="Tablanormal"/>
    <w:uiPriority w:val="59"/>
    <w:rsid w:val="007556e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hyperlink" Target="https://www.boe.es/diario_boe/txt.php?id=BOE-B-2021-10342" TargetMode="External"/><Relationship Id="rId6" Type="http://schemas.openxmlformats.org/officeDocument/2006/relationships/hyperlink" Target="https://www.boe.es/diario_boe/txt.php?id=BOE-B-2021-8930" TargetMode="External"/><Relationship Id="rId7" Type="http://schemas.openxmlformats.org/officeDocument/2006/relationships/image" Target="media/image4.jpeg"/><Relationship Id="rId8" Type="http://schemas.openxmlformats.org/officeDocument/2006/relationships/hyperlink" Target="https://drive.google.com/file/d/1O5gY9w-h9FxpPCNxvT8NqKodRIoOXDgn/view?usp=share_link" TargetMode="External"/><Relationship Id="rId9" Type="http://schemas.openxmlformats.org/officeDocument/2006/relationships/hyperlink" Target="http://www.actualidadjuridicaambiental.com/jurisprudencia-al-dia-castilla-y-leon-urogallo-del-cantabrico/" TargetMode="External"/><Relationship Id="rId10" Type="http://schemas.openxmlformats.org/officeDocument/2006/relationships/image" Target="media/image5.png"/><Relationship Id="rId11" Type="http://schemas.openxmlformats.org/officeDocument/2006/relationships/hyperlink" Target="https://drive.google.com/file/d/1Yd7w2she0zhmDKHRV-qRgv9WmuiG7s35/view" TargetMode="External"/><Relationship Id="rId12" Type="http://schemas.openxmlformats.org/officeDocument/2006/relationships/hyperlink" Target="https://drive.google.com/file/d/1f3BLY6l0aRPIqpV-hPmUsm6G1zPDfDRg/view?usp=share_link" TargetMode="External"/><Relationship Id="rId13" Type="http://schemas.openxmlformats.org/officeDocument/2006/relationships/hyperlink" Target="https://www.boe.es/diario_boe/txt.php?id=BOE-A-2023-706" TargetMode="External"/><Relationship Id="rId14" Type="http://schemas.openxmlformats.org/officeDocument/2006/relationships/hyperlink" Target="https://drive.google.com/file/d/1Yd7w2she0zhmDKHRV-qRgv9WmuiG7s35/view?usp=share_link" TargetMode="External"/><Relationship Id="rId15" Type="http://schemas.openxmlformats.org/officeDocument/2006/relationships/hyperlink" Target="https://drive.google.com/file/d/1STPgTGR7hj_4F_bS1HXeyr-DMzZcFAKG/view?usp=share_link" TargetMode="External"/><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hyperlink" Target="https://www.miteco.gob.es/es/calidad-y-evaluacion-ambiental/temas/evaluacion-ambiental/documento3mapaclasificadoeol_tcm30-518031.pdf" TargetMode="External"/><Relationship Id="rId20" Type="http://schemas.openxmlformats.org/officeDocument/2006/relationships/hyperlink" Target="https://www.miteco.gob.es/es/calidad-y-evaluacion-ambiental/temas/evaluacion-ambiental/documento4mapaclasificadoftv_tcm30-518033.pdf" TargetMode="External"/><Relationship Id="rId21" Type="http://schemas.openxmlformats.org/officeDocument/2006/relationships/hyperlink" Target="https://www.miteco.gob.es/es/calidad-y-evaluacion-ambiental/temas/evaluacion-ambiental/zonificacion_ambiental_energias_renovables.aspx" TargetMode="External"/><Relationship Id="rId22" Type="http://schemas.openxmlformats.org/officeDocument/2006/relationships/hyperlink" Target="https://www.boe.es/diario_boe/txt.php?id=BOE-A-2023-706" TargetMode="External"/><Relationship Id="rId23" Type="http://schemas.openxmlformats.org/officeDocument/2006/relationships/hyperlink" Target="https://www.boe.es/buscar/doc.php?id=BOE-A-2021-421" TargetMode="External"/><Relationship Id="rId24" Type="http://schemas.openxmlformats.org/officeDocument/2006/relationships/image" Target="media/image9.jpeg"/><Relationship Id="rId25" Type="http://schemas.openxmlformats.org/officeDocument/2006/relationships/hyperlink" Target="https://drive.google.com/file/d/1Yd7w2she0zhmDKHRV-qRgv9WmuiG7s35/view" TargetMode="External"/><Relationship Id="rId26" Type="http://schemas.openxmlformats.org/officeDocument/2006/relationships/hyperlink" Target="https://drive.google.com/file/d/1Yd7w2she0zhmDKHRV-qRgv9WmuiG7s35/view?usp=share_link" TargetMode="External"/><Relationship Id="rId27" Type="http://schemas.openxmlformats.org/officeDocument/2006/relationships/hyperlink" Target="http://www.boa.aragon.es/cgi-bin/EBOA/BRSCGI?CMD=VEROBJ&amp;MLKOB=1112855143333&amp;type=pdf" TargetMode="External"/><Relationship Id="rId28" Type="http://schemas.openxmlformats.org/officeDocument/2006/relationships/hyperlink" Target="https://drive.google.com/file/d/1Yd7w2she0zhmDKHRV-qRgv9WmuiG7s35/view?usp=share_link" TargetMode="External"/><Relationship Id="rId29" Type="http://schemas.openxmlformats.org/officeDocument/2006/relationships/image" Target="media/image10.jpeg"/><Relationship Id="rId30" Type="http://schemas.openxmlformats.org/officeDocument/2006/relationships/image" Target="media/image11.jpeg"/><Relationship Id="rId31" Type="http://schemas.openxmlformats.org/officeDocument/2006/relationships/image" Target="media/image12.jpeg"/><Relationship Id="rId32" Type="http://schemas.openxmlformats.org/officeDocument/2006/relationships/image" Target="media/image13.png"/><Relationship Id="rId33" Type="http://schemas.openxmlformats.org/officeDocument/2006/relationships/image" Target="media/image14.jpeg"/><Relationship Id="rId34" Type="http://schemas.openxmlformats.org/officeDocument/2006/relationships/hyperlink" Target="https://drive.google.com/file/d/1Yd7w2she0zhmDKHRV-qRgv9WmuiG7s35/view" TargetMode="External"/><Relationship Id="rId35" Type="http://schemas.openxmlformats.org/officeDocument/2006/relationships/hyperlink" Target="https://drive.google.com/file/d/1Yd7w2she0zhmDKHRV-qRgv9WmuiG7s35/view?usp=share_link" TargetMode="External"/><Relationship Id="rId36" Type="http://schemas.openxmlformats.org/officeDocument/2006/relationships/hyperlink" Target="https://drive.google.com/file/d/1Yd7w2she0zhmDKHRV-qRgv9WmuiG7s35/view?usp=share_link" TargetMode="External"/><Relationship Id="rId37" Type="http://schemas.openxmlformats.org/officeDocument/2006/relationships/hyperlink" Target="https://drive.google.com/file/d/1Yd7w2she0zhmDKHRV-qRgv9WmuiG7s35/view" TargetMode="External"/><Relationship Id="rId38" Type="http://schemas.openxmlformats.org/officeDocument/2006/relationships/image" Target="media/image15.png"/><Relationship Id="rId39" Type="http://schemas.openxmlformats.org/officeDocument/2006/relationships/image" Target="media/image16.png"/><Relationship Id="rId40" Type="http://schemas.openxmlformats.org/officeDocument/2006/relationships/image" Target="media/image17.wmf"/><Relationship Id="rId41" Type="http://schemas.openxmlformats.org/officeDocument/2006/relationships/hyperlink" Target="https://conservationcorridor.org/cpb/Mateo-Sanchez_2018.pdf" TargetMode="External"/><Relationship Id="rId42" Type="http://schemas.openxmlformats.org/officeDocument/2006/relationships/image" Target="media/image18.jpeg"/><Relationship Id="rId43" Type="http://schemas.openxmlformats.org/officeDocument/2006/relationships/image" Target="media/image19.png"/><Relationship Id="rId44" Type="http://schemas.openxmlformats.org/officeDocument/2006/relationships/hyperlink" Target="https://www.miteco.gob.es/images/es/eae_pniec_tcm30-506493.pdf" TargetMode="External"/><Relationship Id="rId45" Type="http://schemas.openxmlformats.org/officeDocument/2006/relationships/image" Target="media/image20.png"/><Relationship Id="rId46" Type="http://schemas.openxmlformats.org/officeDocument/2006/relationships/fontTable" Target="fontTable.xml"/><Relationship Id="rId47" Type="http://schemas.openxmlformats.org/officeDocument/2006/relationships/settings" Target="settings.xml"/><Relationship Id="rId48" Type="http://schemas.openxmlformats.org/officeDocument/2006/relationships/theme" Target="theme/theme1.xml"/><Relationship Id="rId49" Type="http://schemas.openxmlformats.org/officeDocument/2006/relationships/customXml" Target="../customXml/item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2EB630-ECBF-4AA2-A3F2-24E38F843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1622</TotalTime>
  <Application>LibreOffice/7.0.6.2$Windows_X86_64 LibreOffice_project/144abb84a525d8e30c9dbbefa69cbbf2d8d4ae3b</Application>
  <AppVersion>15.0000</AppVersion>
  <Pages>52</Pages>
  <Words>23825</Words>
  <Characters>127242</Characters>
  <CharactersWithSpaces>150530</CharactersWithSpaces>
  <Paragraphs>685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2023-02-03T13:48:00Z</dcterms:created>
  <dc:creator>Mariano</dc:creator>
  <dc:description/>
  <dc:language>es-ES</dc:language>
  <cp:lastModifiedBy/>
  <dcterms:modified xsi:type="dcterms:W3CDTF">2023-06-27T17:48:59Z</dcterms:modified>
  <cp:revision>92</cp:revision>
  <dc:subject/>
  <dc:title/>
</cp:coreProperties>
</file>

<file path=docProps/custom.xml><?xml version="1.0" encoding="utf-8"?>
<Properties xmlns="http://schemas.openxmlformats.org/officeDocument/2006/custom-properties" xmlns:vt="http://schemas.openxmlformats.org/officeDocument/2006/docPropsVTypes"/>
</file>